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88CF" w14:textId="77777777" w:rsidR="001F431C" w:rsidRPr="001F431C" w:rsidRDefault="001F431C">
      <w:pPr>
        <w:rPr>
          <w:rFonts w:ascii="Arial" w:hAnsi="Arial" w:cs="Arial"/>
          <w:b/>
          <w:sz w:val="36"/>
          <w:szCs w:val="36"/>
        </w:rPr>
      </w:pPr>
      <w:r w:rsidRPr="001F431C">
        <w:rPr>
          <w:rFonts w:ascii="Arial" w:hAnsi="Arial" w:cs="Arial"/>
          <w:b/>
          <w:sz w:val="36"/>
          <w:szCs w:val="36"/>
        </w:rPr>
        <w:t>Accessibility training provider brief</w:t>
      </w:r>
    </w:p>
    <w:p w14:paraId="1B4A7E96" w14:textId="6573AA47" w:rsidR="007D56D0" w:rsidRDefault="001F43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</w:t>
      </w:r>
      <w:r w:rsidR="00F61EBE">
        <w:rPr>
          <w:rFonts w:ascii="Arial" w:hAnsi="Arial" w:cs="Arial"/>
          <w:b/>
          <w:sz w:val="24"/>
          <w:szCs w:val="24"/>
        </w:rPr>
        <w:t xml:space="preserve">derstanding the role of the </w:t>
      </w:r>
      <w:r w:rsidR="0076307C">
        <w:rPr>
          <w:rFonts w:ascii="Arial" w:hAnsi="Arial" w:cs="Arial"/>
          <w:b/>
          <w:sz w:val="24"/>
          <w:szCs w:val="24"/>
        </w:rPr>
        <w:t xml:space="preserve">Accessibility Champion </w:t>
      </w:r>
      <w:r w:rsidR="006A3450">
        <w:rPr>
          <w:rFonts w:ascii="Arial" w:hAnsi="Arial" w:cs="Arial"/>
          <w:b/>
          <w:sz w:val="24"/>
          <w:szCs w:val="24"/>
        </w:rPr>
        <w:t>t</w:t>
      </w:r>
      <w:r w:rsidR="0076307C">
        <w:rPr>
          <w:rFonts w:ascii="Arial" w:hAnsi="Arial" w:cs="Arial"/>
          <w:b/>
          <w:sz w:val="24"/>
          <w:szCs w:val="24"/>
        </w:rPr>
        <w:t xml:space="preserve">raining </w:t>
      </w:r>
      <w:r w:rsidR="006A3450">
        <w:rPr>
          <w:rFonts w:ascii="Arial" w:hAnsi="Arial" w:cs="Arial"/>
          <w:b/>
          <w:sz w:val="24"/>
          <w:szCs w:val="24"/>
        </w:rPr>
        <w:t>p</w:t>
      </w:r>
      <w:r w:rsidR="0076307C">
        <w:rPr>
          <w:rFonts w:ascii="Arial" w:hAnsi="Arial" w:cs="Arial"/>
          <w:b/>
          <w:sz w:val="24"/>
          <w:szCs w:val="24"/>
        </w:rPr>
        <w:t>rovider</w:t>
      </w:r>
    </w:p>
    <w:p w14:paraId="16928EEB" w14:textId="71119552" w:rsidR="00BA5E10" w:rsidRPr="009377D9" w:rsidRDefault="00D97EB3" w:rsidP="004D4227">
      <w:pPr>
        <w:rPr>
          <w:rFonts w:ascii="Arial" w:hAnsi="Arial" w:cs="Arial"/>
          <w:sz w:val="24"/>
          <w:szCs w:val="24"/>
        </w:rPr>
      </w:pPr>
      <w:r w:rsidRPr="009377D9">
        <w:rPr>
          <w:rFonts w:ascii="Arial" w:hAnsi="Arial" w:cs="Arial"/>
          <w:sz w:val="24"/>
          <w:szCs w:val="24"/>
        </w:rPr>
        <w:t xml:space="preserve">The role of the training provider is to design and deliver </w:t>
      </w:r>
      <w:r w:rsidR="00685521" w:rsidRPr="009377D9">
        <w:rPr>
          <w:rFonts w:ascii="Arial" w:hAnsi="Arial" w:cs="Arial"/>
          <w:sz w:val="24"/>
          <w:szCs w:val="24"/>
        </w:rPr>
        <w:t>a one</w:t>
      </w:r>
      <w:r w:rsidR="006A3450" w:rsidRPr="009377D9">
        <w:rPr>
          <w:rFonts w:ascii="Arial" w:hAnsi="Arial" w:cs="Arial"/>
          <w:sz w:val="24"/>
          <w:szCs w:val="24"/>
        </w:rPr>
        <w:t>-</w:t>
      </w:r>
      <w:r w:rsidR="00685521" w:rsidRPr="009377D9">
        <w:rPr>
          <w:rFonts w:ascii="Arial" w:hAnsi="Arial" w:cs="Arial"/>
          <w:sz w:val="24"/>
          <w:szCs w:val="24"/>
        </w:rPr>
        <w:t xml:space="preserve">day </w:t>
      </w:r>
      <w:r w:rsidRPr="009377D9">
        <w:rPr>
          <w:rFonts w:ascii="Arial" w:hAnsi="Arial" w:cs="Arial"/>
          <w:sz w:val="24"/>
          <w:szCs w:val="24"/>
        </w:rPr>
        <w:t xml:space="preserve">Accessibility Champion </w:t>
      </w:r>
      <w:r w:rsidR="004D7D50" w:rsidRPr="009377D9">
        <w:rPr>
          <w:rFonts w:ascii="Arial" w:hAnsi="Arial" w:cs="Arial"/>
          <w:sz w:val="24"/>
          <w:szCs w:val="24"/>
        </w:rPr>
        <w:t>training for</w:t>
      </w:r>
      <w:r w:rsidR="00685521" w:rsidRPr="009377D9">
        <w:rPr>
          <w:rFonts w:ascii="Arial" w:hAnsi="Arial" w:cs="Arial"/>
          <w:sz w:val="24"/>
          <w:szCs w:val="24"/>
        </w:rPr>
        <w:t xml:space="preserve"> </w:t>
      </w:r>
      <w:r w:rsidRPr="009377D9">
        <w:rPr>
          <w:rFonts w:ascii="Arial" w:hAnsi="Arial" w:cs="Arial"/>
          <w:sz w:val="24"/>
          <w:szCs w:val="24"/>
        </w:rPr>
        <w:t xml:space="preserve">two key individuals within each participating business. The training should meet the </w:t>
      </w:r>
      <w:hyperlink r:id="rId7" w:anchor="employer-resources" w:history="1">
        <w:r w:rsidR="00122A17" w:rsidRPr="00122A17">
          <w:rPr>
            <w:rStyle w:val="Hyperlink"/>
            <w:rFonts w:ascii="Arial" w:hAnsi="Arial" w:cs="Arial"/>
            <w:sz w:val="24"/>
            <w:szCs w:val="24"/>
          </w:rPr>
          <w:t>Accessibility Champion brief</w:t>
        </w:r>
      </w:hyperlink>
      <w:r w:rsidRPr="009377D9">
        <w:rPr>
          <w:rFonts w:ascii="Arial" w:hAnsi="Arial" w:cs="Arial"/>
          <w:sz w:val="24"/>
          <w:szCs w:val="24"/>
        </w:rPr>
        <w:t xml:space="preserve"> identified by the </w:t>
      </w:r>
      <w:hyperlink r:id="rId8" w:history="1">
        <w:r w:rsidR="00122A17" w:rsidRPr="00122A17">
          <w:rPr>
            <w:rStyle w:val="Hyperlink"/>
            <w:rFonts w:ascii="Arial" w:hAnsi="Arial" w:cs="Arial"/>
            <w:sz w:val="24"/>
            <w:szCs w:val="24"/>
          </w:rPr>
          <w:t>England Inclusive Tourism Action Group</w:t>
        </w:r>
      </w:hyperlink>
      <w:r w:rsidR="00236222" w:rsidRPr="009377D9">
        <w:rPr>
          <w:rFonts w:ascii="Arial" w:hAnsi="Arial" w:cs="Arial"/>
          <w:sz w:val="24"/>
          <w:szCs w:val="24"/>
        </w:rPr>
        <w:t xml:space="preserve">, supporting delegates to embed access and inclusion throughout their organisation. </w:t>
      </w:r>
      <w:r w:rsidRPr="009377D9">
        <w:rPr>
          <w:rFonts w:ascii="Arial" w:hAnsi="Arial" w:cs="Arial"/>
          <w:sz w:val="24"/>
          <w:szCs w:val="24"/>
        </w:rPr>
        <w:t>The training provider may also be commissioned to deliver training for front-line staff, where this is not to be delivered via e-learning.</w:t>
      </w:r>
    </w:p>
    <w:p w14:paraId="4E35011A" w14:textId="743E42B3" w:rsidR="00BA5E10" w:rsidRPr="001F431C" w:rsidRDefault="00BA5E10" w:rsidP="004D42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Accessibility Champion training </w:t>
      </w:r>
      <w:r w:rsidR="009377D9">
        <w:rPr>
          <w:rFonts w:ascii="Arial" w:hAnsi="Arial" w:cs="Arial"/>
          <w:sz w:val="24"/>
          <w:szCs w:val="24"/>
        </w:rPr>
        <w:t>should preferably</w:t>
      </w:r>
      <w:r>
        <w:rPr>
          <w:rFonts w:ascii="Arial" w:hAnsi="Arial" w:cs="Arial"/>
          <w:sz w:val="24"/>
          <w:szCs w:val="24"/>
        </w:rPr>
        <w:t xml:space="preserve"> be provided face to face,</w:t>
      </w:r>
      <w:r w:rsidR="009377D9">
        <w:rPr>
          <w:rFonts w:ascii="Arial" w:hAnsi="Arial" w:cs="Arial"/>
          <w:sz w:val="24"/>
          <w:szCs w:val="24"/>
        </w:rPr>
        <w:t xml:space="preserve"> but may be delivered </w:t>
      </w:r>
      <w:r>
        <w:rPr>
          <w:rFonts w:ascii="Arial" w:hAnsi="Arial" w:cs="Arial"/>
          <w:sz w:val="24"/>
          <w:szCs w:val="24"/>
        </w:rPr>
        <w:t xml:space="preserve">via online webinars, or a hybrid of the two. </w:t>
      </w:r>
      <w:r w:rsidR="000406F4">
        <w:rPr>
          <w:rFonts w:ascii="Arial" w:hAnsi="Arial" w:cs="Arial"/>
          <w:sz w:val="24"/>
          <w:szCs w:val="24"/>
        </w:rPr>
        <w:t xml:space="preserve">The </w:t>
      </w:r>
      <w:r w:rsidR="000406F4" w:rsidRPr="001F431C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Training </w:t>
      </w:r>
      <w:r w:rsidR="000E3F55" w:rsidRPr="001F431C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Delivery </w:t>
      </w:r>
      <w:r w:rsidR="000406F4" w:rsidRPr="001F431C">
        <w:rPr>
          <w:rFonts w:ascii="Arial" w:hAnsi="Arial" w:cs="Arial"/>
          <w:b/>
          <w:color w:val="2E74B5" w:themeColor="accent1" w:themeShade="BF"/>
          <w:sz w:val="24"/>
          <w:szCs w:val="24"/>
        </w:rPr>
        <w:t>Options Tool</w:t>
      </w:r>
      <w:r w:rsidR="000406F4">
        <w:rPr>
          <w:rFonts w:ascii="Arial" w:hAnsi="Arial" w:cs="Arial"/>
          <w:sz w:val="24"/>
          <w:szCs w:val="24"/>
        </w:rPr>
        <w:t xml:space="preserve"> c</w:t>
      </w:r>
      <w:r w:rsidR="00287E74">
        <w:rPr>
          <w:rFonts w:ascii="Arial" w:hAnsi="Arial" w:cs="Arial"/>
          <w:sz w:val="24"/>
          <w:szCs w:val="24"/>
        </w:rPr>
        <w:t>an help you choose which option</w:t>
      </w:r>
      <w:r w:rsidR="000406F4">
        <w:rPr>
          <w:rFonts w:ascii="Arial" w:hAnsi="Arial" w:cs="Arial"/>
          <w:sz w:val="24"/>
          <w:szCs w:val="24"/>
        </w:rPr>
        <w:t xml:space="preserve"> is right for you, your </w:t>
      </w:r>
      <w:proofErr w:type="gramStart"/>
      <w:r w:rsidR="000406F4">
        <w:rPr>
          <w:rFonts w:ascii="Arial" w:hAnsi="Arial" w:cs="Arial"/>
          <w:sz w:val="24"/>
          <w:szCs w:val="24"/>
        </w:rPr>
        <w:t>learners</w:t>
      </w:r>
      <w:proofErr w:type="gramEnd"/>
      <w:r w:rsidR="000406F4">
        <w:rPr>
          <w:rFonts w:ascii="Arial" w:hAnsi="Arial" w:cs="Arial"/>
          <w:sz w:val="24"/>
          <w:szCs w:val="24"/>
        </w:rPr>
        <w:t xml:space="preserve"> and </w:t>
      </w:r>
      <w:r w:rsidR="000406F4" w:rsidRPr="001F431C">
        <w:rPr>
          <w:rFonts w:ascii="Arial" w:hAnsi="Arial" w:cs="Arial"/>
          <w:sz w:val="24"/>
          <w:szCs w:val="24"/>
        </w:rPr>
        <w:t>your budget.</w:t>
      </w:r>
    </w:p>
    <w:p w14:paraId="1664CF0B" w14:textId="0780CB87" w:rsidR="009377D9" w:rsidRPr="001F431C" w:rsidRDefault="009377D9" w:rsidP="004D4227">
      <w:pPr>
        <w:rPr>
          <w:rFonts w:ascii="Arial" w:hAnsi="Arial" w:cs="Arial"/>
          <w:sz w:val="24"/>
          <w:szCs w:val="24"/>
        </w:rPr>
      </w:pPr>
      <w:r w:rsidRPr="001F431C">
        <w:rPr>
          <w:rFonts w:ascii="Arial" w:hAnsi="Arial" w:cs="Arial"/>
          <w:sz w:val="24"/>
          <w:szCs w:val="24"/>
        </w:rPr>
        <w:t>The training should also include:</w:t>
      </w:r>
    </w:p>
    <w:p w14:paraId="0B793BE2" w14:textId="784CAE2E" w:rsidR="009377D9" w:rsidRPr="001F431C" w:rsidRDefault="001F431C" w:rsidP="009377D9">
      <w:pPr>
        <w:numPr>
          <w:ilvl w:val="0"/>
          <w:numId w:val="29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</w:t>
      </w:r>
      <w:r w:rsidR="009377D9" w:rsidRPr="001F431C">
        <w:rPr>
          <w:rFonts w:ascii="Arial" w:eastAsia="Calibri" w:hAnsi="Arial" w:cs="Arial"/>
          <w:sz w:val="24"/>
          <w:szCs w:val="24"/>
        </w:rPr>
        <w:t xml:space="preserve">roup </w:t>
      </w:r>
      <w:proofErr w:type="gramStart"/>
      <w:r w:rsidR="009377D9" w:rsidRPr="001F431C">
        <w:rPr>
          <w:rFonts w:ascii="Arial" w:eastAsia="Calibri" w:hAnsi="Arial" w:cs="Arial"/>
          <w:sz w:val="24"/>
          <w:szCs w:val="24"/>
        </w:rPr>
        <w:t>participation</w:t>
      </w:r>
      <w:proofErr w:type="gramEnd"/>
    </w:p>
    <w:p w14:paraId="44FB0838" w14:textId="1DB394D3" w:rsidR="009377D9" w:rsidRPr="001F431C" w:rsidRDefault="001F431C" w:rsidP="009377D9">
      <w:pPr>
        <w:numPr>
          <w:ilvl w:val="0"/>
          <w:numId w:val="29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</w:t>
      </w:r>
      <w:r w:rsidR="009377D9" w:rsidRPr="001F431C">
        <w:rPr>
          <w:rFonts w:ascii="Arial" w:eastAsia="Calibri" w:hAnsi="Arial" w:cs="Arial"/>
          <w:sz w:val="24"/>
          <w:szCs w:val="24"/>
        </w:rPr>
        <w:t xml:space="preserve">ractical solutions to situations experienced by </w:t>
      </w:r>
      <w:proofErr w:type="gramStart"/>
      <w:r w:rsidR="009377D9" w:rsidRPr="001F431C">
        <w:rPr>
          <w:rFonts w:ascii="Arial" w:eastAsia="Calibri" w:hAnsi="Arial" w:cs="Arial"/>
          <w:sz w:val="24"/>
          <w:szCs w:val="24"/>
        </w:rPr>
        <w:t>attendees</w:t>
      </w:r>
      <w:proofErr w:type="gramEnd"/>
      <w:r w:rsidR="009377D9" w:rsidRPr="001F431C">
        <w:rPr>
          <w:rFonts w:ascii="Arial" w:eastAsia="Calibri" w:hAnsi="Arial" w:cs="Arial"/>
          <w:sz w:val="24"/>
          <w:szCs w:val="24"/>
        </w:rPr>
        <w:t xml:space="preserve"> </w:t>
      </w:r>
    </w:p>
    <w:p w14:paraId="1AA54470" w14:textId="4C7B8EAB" w:rsidR="000A4992" w:rsidRPr="001F431C" w:rsidRDefault="000A4992" w:rsidP="009377D9">
      <w:pPr>
        <w:numPr>
          <w:ilvl w:val="0"/>
          <w:numId w:val="29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F431C">
        <w:rPr>
          <w:rFonts w:ascii="Arial" w:eastAsia="Calibri" w:hAnsi="Arial" w:cs="Arial"/>
          <w:sz w:val="24"/>
          <w:szCs w:val="24"/>
        </w:rPr>
        <w:t>Signposting to the business toolkit</w:t>
      </w:r>
      <w:r w:rsidR="001F431C">
        <w:rPr>
          <w:rFonts w:ascii="Arial" w:eastAsia="Calibri" w:hAnsi="Arial" w:cs="Arial"/>
          <w:sz w:val="24"/>
          <w:szCs w:val="24"/>
        </w:rPr>
        <w:t>.</w:t>
      </w:r>
    </w:p>
    <w:p w14:paraId="55C864C7" w14:textId="77777777" w:rsidR="009377D9" w:rsidRDefault="009377D9" w:rsidP="004D4227">
      <w:pPr>
        <w:rPr>
          <w:rFonts w:ascii="Arial" w:hAnsi="Arial" w:cs="Arial"/>
          <w:sz w:val="24"/>
          <w:szCs w:val="24"/>
        </w:rPr>
      </w:pPr>
    </w:p>
    <w:p w14:paraId="2E6FCA3B" w14:textId="3BAE5EC3" w:rsidR="006A5664" w:rsidRDefault="006A5664" w:rsidP="004D42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Training </w:t>
      </w:r>
      <w:r w:rsidR="006A3450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bjectives</w:t>
      </w:r>
    </w:p>
    <w:p w14:paraId="166EFC50" w14:textId="6E1C22E7" w:rsidR="006A5664" w:rsidRDefault="006A3450" w:rsidP="004D42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6A5664">
        <w:rPr>
          <w:rFonts w:ascii="Arial" w:hAnsi="Arial" w:cs="Arial"/>
          <w:sz w:val="24"/>
          <w:szCs w:val="24"/>
        </w:rPr>
        <w:t>y the end of the programme</w:t>
      </w:r>
      <w:r>
        <w:rPr>
          <w:rFonts w:ascii="Arial" w:hAnsi="Arial" w:cs="Arial"/>
          <w:sz w:val="24"/>
          <w:szCs w:val="24"/>
        </w:rPr>
        <w:t>,</w:t>
      </w:r>
      <w:r w:rsidR="006A5664">
        <w:rPr>
          <w:rFonts w:ascii="Arial" w:hAnsi="Arial" w:cs="Arial"/>
          <w:sz w:val="24"/>
          <w:szCs w:val="24"/>
        </w:rPr>
        <w:t xml:space="preserve"> delegates will have:</w:t>
      </w:r>
    </w:p>
    <w:p w14:paraId="107A01C3" w14:textId="77777777" w:rsidR="006A5664" w:rsidRPr="00460B23" w:rsidRDefault="006A5664" w:rsidP="006A5664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60B23">
        <w:rPr>
          <w:rFonts w:ascii="Arial" w:hAnsi="Arial" w:cs="Arial"/>
          <w:sz w:val="24"/>
          <w:szCs w:val="24"/>
        </w:rPr>
        <w:t xml:space="preserve"> greater understanding of the size of th</w:t>
      </w:r>
      <w:r>
        <w:rPr>
          <w:rFonts w:ascii="Arial" w:hAnsi="Arial" w:cs="Arial"/>
          <w:sz w:val="24"/>
          <w:szCs w:val="24"/>
        </w:rPr>
        <w:t>e accessible tourism market</w:t>
      </w:r>
    </w:p>
    <w:p w14:paraId="0E46B21F" w14:textId="6A78979D" w:rsidR="006A5664" w:rsidRPr="00460B23" w:rsidRDefault="006A5664" w:rsidP="006A5664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60B23">
        <w:rPr>
          <w:rFonts w:ascii="Arial" w:hAnsi="Arial" w:cs="Arial"/>
          <w:sz w:val="24"/>
          <w:szCs w:val="24"/>
        </w:rPr>
        <w:t xml:space="preserve"> greater understanding of the potential b</w:t>
      </w:r>
      <w:r>
        <w:rPr>
          <w:rFonts w:ascii="Arial" w:hAnsi="Arial" w:cs="Arial"/>
          <w:sz w:val="24"/>
          <w:szCs w:val="24"/>
        </w:rPr>
        <w:t>arriers faced by customers with accessibility requirements and the solutions available to overcome these barriers</w:t>
      </w:r>
    </w:p>
    <w:p w14:paraId="3749CBA7" w14:textId="405E0DB5" w:rsidR="006A5664" w:rsidRPr="00460B23" w:rsidRDefault="006A5664" w:rsidP="006A5664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</w:t>
      </w:r>
      <w:r w:rsidRPr="00460B23">
        <w:rPr>
          <w:rFonts w:ascii="Arial" w:hAnsi="Arial" w:cs="Arial"/>
          <w:sz w:val="24"/>
          <w:szCs w:val="24"/>
        </w:rPr>
        <w:t>kills and knowledge</w:t>
      </w:r>
      <w:r>
        <w:rPr>
          <w:rFonts w:ascii="Arial" w:hAnsi="Arial" w:cs="Arial"/>
          <w:sz w:val="24"/>
          <w:szCs w:val="24"/>
        </w:rPr>
        <w:t xml:space="preserve"> required</w:t>
      </w:r>
      <w:r w:rsidRPr="00460B23">
        <w:rPr>
          <w:rFonts w:ascii="Arial" w:hAnsi="Arial" w:cs="Arial"/>
          <w:sz w:val="24"/>
          <w:szCs w:val="24"/>
        </w:rPr>
        <w:t xml:space="preserve"> to enhance service quality for </w:t>
      </w:r>
      <w:r>
        <w:rPr>
          <w:rFonts w:ascii="Arial" w:hAnsi="Arial" w:cs="Arial"/>
          <w:sz w:val="24"/>
          <w:szCs w:val="24"/>
        </w:rPr>
        <w:t>customers with accessibility requirements</w:t>
      </w:r>
    </w:p>
    <w:p w14:paraId="7327CAFF" w14:textId="1E756C15" w:rsidR="006A5664" w:rsidRPr="00F06207" w:rsidRDefault="006A5664" w:rsidP="00B259D3">
      <w:pPr>
        <w:numPr>
          <w:ilvl w:val="0"/>
          <w:numId w:val="29"/>
        </w:numPr>
        <w:rPr>
          <w:rFonts w:ascii="Arial" w:eastAsia="Calibri" w:hAnsi="Arial" w:cs="Arial"/>
          <w:sz w:val="24"/>
          <w:szCs w:val="24"/>
        </w:rPr>
      </w:pPr>
      <w:r w:rsidRPr="006A5664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creased confidence to meet the needs of this market</w:t>
      </w:r>
      <w:r w:rsidR="001F431C">
        <w:rPr>
          <w:rFonts w:ascii="Arial" w:hAnsi="Arial" w:cs="Arial"/>
          <w:sz w:val="24"/>
          <w:szCs w:val="24"/>
        </w:rPr>
        <w:t>.</w:t>
      </w:r>
    </w:p>
    <w:p w14:paraId="7DC97FA3" w14:textId="7DAB40B8" w:rsidR="00F06207" w:rsidRPr="006A5664" w:rsidRDefault="00F06207" w:rsidP="00F06207">
      <w:pPr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training should utilise a range of </w:t>
      </w:r>
      <w:r w:rsidR="00287E74">
        <w:rPr>
          <w:rFonts w:ascii="Arial" w:hAnsi="Arial" w:cs="Arial"/>
          <w:sz w:val="24"/>
          <w:szCs w:val="24"/>
        </w:rPr>
        <w:t xml:space="preserve">delivery </w:t>
      </w:r>
      <w:r>
        <w:rPr>
          <w:rFonts w:ascii="Arial" w:hAnsi="Arial" w:cs="Arial"/>
          <w:sz w:val="24"/>
          <w:szCs w:val="24"/>
        </w:rPr>
        <w:t>methods to suit different learning styles.</w:t>
      </w:r>
    </w:p>
    <w:p w14:paraId="3E871293" w14:textId="7AC42D35" w:rsidR="00CD1B1E" w:rsidRDefault="0076307C" w:rsidP="004D4227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Training </w:t>
      </w:r>
      <w:r w:rsidR="006A3450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 xml:space="preserve">rovider </w:t>
      </w:r>
      <w:r w:rsidR="006A3450">
        <w:rPr>
          <w:rFonts w:ascii="Arial" w:eastAsia="Calibri" w:hAnsi="Arial" w:cs="Arial"/>
          <w:b/>
          <w:sz w:val="24"/>
          <w:szCs w:val="24"/>
        </w:rPr>
        <w:t>d</w:t>
      </w:r>
      <w:r w:rsidR="00CD1B1E">
        <w:rPr>
          <w:rFonts w:ascii="Arial" w:eastAsia="Calibri" w:hAnsi="Arial" w:cs="Arial"/>
          <w:b/>
          <w:sz w:val="24"/>
          <w:szCs w:val="24"/>
        </w:rPr>
        <w:t>eliverables and KPIs</w:t>
      </w:r>
    </w:p>
    <w:p w14:paraId="31284D45" w14:textId="77C674EC" w:rsidR="00CD1B1E" w:rsidRPr="00CD1B1E" w:rsidRDefault="0076307C" w:rsidP="004D4227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</w:t>
      </w:r>
      <w:r w:rsidR="006A5664">
        <w:rPr>
          <w:rFonts w:ascii="Arial" w:eastAsia="Calibri" w:hAnsi="Arial" w:cs="Arial"/>
          <w:sz w:val="24"/>
          <w:szCs w:val="24"/>
        </w:rPr>
        <w:t>deliverable</w:t>
      </w:r>
      <w:r w:rsidR="00287E74">
        <w:rPr>
          <w:rFonts w:ascii="Arial" w:eastAsia="Calibri" w:hAnsi="Arial" w:cs="Arial"/>
          <w:sz w:val="24"/>
          <w:szCs w:val="24"/>
        </w:rPr>
        <w:t>s</w:t>
      </w:r>
      <w:r w:rsidR="00CD1B1E">
        <w:rPr>
          <w:rFonts w:ascii="Arial" w:eastAsia="Calibri" w:hAnsi="Arial" w:cs="Arial"/>
          <w:sz w:val="24"/>
          <w:szCs w:val="24"/>
        </w:rPr>
        <w:t xml:space="preserve"> for the </w:t>
      </w:r>
      <w:r>
        <w:rPr>
          <w:rFonts w:ascii="Arial" w:eastAsia="Calibri" w:hAnsi="Arial" w:cs="Arial"/>
          <w:sz w:val="24"/>
          <w:szCs w:val="24"/>
        </w:rPr>
        <w:t xml:space="preserve">Accessibility Champion </w:t>
      </w:r>
      <w:r w:rsidR="006A3450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 xml:space="preserve">raining </w:t>
      </w:r>
      <w:r w:rsidR="006A3450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 xml:space="preserve">rovider within the </w:t>
      </w:r>
      <w:r w:rsidR="00CD1B1E">
        <w:rPr>
          <w:rFonts w:ascii="Arial" w:eastAsia="Calibri" w:hAnsi="Arial" w:cs="Arial"/>
          <w:sz w:val="24"/>
          <w:szCs w:val="24"/>
        </w:rPr>
        <w:t>E</w:t>
      </w:r>
      <w:r w:rsidR="005F32B8">
        <w:rPr>
          <w:rFonts w:ascii="Arial" w:eastAsia="Calibri" w:hAnsi="Arial" w:cs="Arial"/>
          <w:sz w:val="24"/>
          <w:szCs w:val="24"/>
        </w:rPr>
        <w:t xml:space="preserve">nhanced </w:t>
      </w:r>
      <w:r w:rsidR="006A3450">
        <w:rPr>
          <w:rFonts w:ascii="Arial" w:eastAsia="Calibri" w:hAnsi="Arial" w:cs="Arial"/>
          <w:sz w:val="24"/>
          <w:szCs w:val="24"/>
        </w:rPr>
        <w:t>P</w:t>
      </w:r>
      <w:r w:rsidR="005F32B8">
        <w:rPr>
          <w:rFonts w:ascii="Arial" w:eastAsia="Calibri" w:hAnsi="Arial" w:cs="Arial"/>
          <w:sz w:val="24"/>
          <w:szCs w:val="24"/>
        </w:rPr>
        <w:t>rogramme are</w:t>
      </w:r>
      <w:r w:rsidR="00EB5B52">
        <w:rPr>
          <w:rFonts w:ascii="Arial" w:eastAsia="Calibri" w:hAnsi="Arial" w:cs="Arial"/>
          <w:sz w:val="24"/>
          <w:szCs w:val="24"/>
        </w:rPr>
        <w:t xml:space="preserve"> outlined</w:t>
      </w:r>
      <w:r w:rsidR="00CD1B1E">
        <w:rPr>
          <w:rFonts w:ascii="Arial" w:eastAsia="Calibri" w:hAnsi="Arial" w:cs="Arial"/>
          <w:sz w:val="24"/>
          <w:szCs w:val="24"/>
        </w:rPr>
        <w:t xml:space="preserve"> </w:t>
      </w:r>
      <w:r w:rsidR="00D72155">
        <w:rPr>
          <w:rFonts w:ascii="Arial" w:eastAsia="Calibri" w:hAnsi="Arial" w:cs="Arial"/>
          <w:sz w:val="24"/>
          <w:szCs w:val="24"/>
        </w:rPr>
        <w:t xml:space="preserve">below, along </w:t>
      </w:r>
      <w:r w:rsidR="006A3450">
        <w:rPr>
          <w:rFonts w:ascii="Arial" w:eastAsia="Calibri" w:hAnsi="Arial" w:cs="Arial"/>
          <w:sz w:val="24"/>
          <w:szCs w:val="24"/>
        </w:rPr>
        <w:t xml:space="preserve">with </w:t>
      </w:r>
      <w:r w:rsidR="006A5664">
        <w:rPr>
          <w:rFonts w:ascii="Arial" w:eastAsia="Calibri" w:hAnsi="Arial" w:cs="Arial"/>
          <w:sz w:val="24"/>
          <w:szCs w:val="24"/>
        </w:rPr>
        <w:t>Key Performance Indicator</w:t>
      </w:r>
      <w:r w:rsidR="00287E74">
        <w:rPr>
          <w:rFonts w:ascii="Arial" w:eastAsia="Calibri" w:hAnsi="Arial" w:cs="Arial"/>
          <w:sz w:val="24"/>
          <w:szCs w:val="24"/>
        </w:rPr>
        <w:t>s</w:t>
      </w:r>
      <w:r w:rsidR="006A5664">
        <w:rPr>
          <w:rFonts w:ascii="Arial" w:eastAsia="Calibri" w:hAnsi="Arial" w:cs="Arial"/>
          <w:sz w:val="24"/>
          <w:szCs w:val="24"/>
        </w:rPr>
        <w:t xml:space="preserve"> </w:t>
      </w:r>
      <w:r w:rsidR="00CD1B1E">
        <w:rPr>
          <w:rFonts w:ascii="Arial" w:eastAsia="Calibri" w:hAnsi="Arial" w:cs="Arial"/>
          <w:sz w:val="24"/>
          <w:szCs w:val="24"/>
        </w:rPr>
        <w:t>(KPIs)</w:t>
      </w:r>
      <w:r w:rsidR="00EB5B52">
        <w:rPr>
          <w:rFonts w:ascii="Arial" w:eastAsia="Calibri" w:hAnsi="Arial" w:cs="Arial"/>
          <w:sz w:val="24"/>
          <w:szCs w:val="24"/>
        </w:rPr>
        <w:t xml:space="preserve"> to help provide a focus for the work and</w:t>
      </w:r>
      <w:r w:rsidR="004F4CE9">
        <w:rPr>
          <w:rFonts w:ascii="Arial" w:eastAsia="Calibri" w:hAnsi="Arial" w:cs="Arial"/>
          <w:sz w:val="24"/>
          <w:szCs w:val="24"/>
        </w:rPr>
        <w:t xml:space="preserve"> to</w:t>
      </w:r>
      <w:r w:rsidR="00EB5B52">
        <w:rPr>
          <w:rFonts w:ascii="Arial" w:eastAsia="Calibri" w:hAnsi="Arial" w:cs="Arial"/>
          <w:sz w:val="24"/>
          <w:szCs w:val="24"/>
        </w:rPr>
        <w:t xml:space="preserve"> support project evaluation.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A0AAC" w14:paraId="23FD63DD" w14:textId="77777777" w:rsidTr="00DA0AAC">
        <w:tc>
          <w:tcPr>
            <w:tcW w:w="9016" w:type="dxa"/>
            <w:gridSpan w:val="2"/>
            <w:shd w:val="clear" w:color="auto" w:fill="FF0000"/>
          </w:tcPr>
          <w:p w14:paraId="2517FACD" w14:textId="7534EA8A" w:rsidR="00DA0AAC" w:rsidRPr="00DA0AAC" w:rsidRDefault="0076307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Training </w:t>
            </w:r>
            <w:r w:rsidR="006A34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rovider </w:t>
            </w:r>
            <w:r w:rsidR="006A34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</w:t>
            </w:r>
            <w:r w:rsidR="00D1414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eliverables and KPIs</w:t>
            </w:r>
          </w:p>
        </w:tc>
      </w:tr>
      <w:tr w:rsidR="00685521" w14:paraId="19A00C13" w14:textId="77777777" w:rsidTr="00685521">
        <w:tc>
          <w:tcPr>
            <w:tcW w:w="4508" w:type="dxa"/>
            <w:shd w:val="clear" w:color="auto" w:fill="D9D9D9" w:themeFill="background1" w:themeFillShade="D9"/>
          </w:tcPr>
          <w:p w14:paraId="34758868" w14:textId="30D5A373" w:rsidR="00685521" w:rsidRPr="00685521" w:rsidRDefault="00685521" w:rsidP="00685521">
            <w:pPr>
              <w:tabs>
                <w:tab w:val="left" w:pos="304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1BFED0E1" w14:textId="7D9E48EA" w:rsidR="00685521" w:rsidRPr="00685521" w:rsidRDefault="00685521" w:rsidP="00F61E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KPI</w:t>
            </w:r>
          </w:p>
        </w:tc>
      </w:tr>
      <w:tr w:rsidR="00D14149" w14:paraId="1B79275C" w14:textId="77777777" w:rsidTr="0051526E">
        <w:tc>
          <w:tcPr>
            <w:tcW w:w="4508" w:type="dxa"/>
          </w:tcPr>
          <w:p w14:paraId="767BD28B" w14:textId="49655F85" w:rsidR="00D14149" w:rsidRPr="00D14149" w:rsidRDefault="006855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Deliver </w:t>
            </w:r>
            <w:r w:rsidR="00434632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>Accessibility Champion training</w:t>
            </w:r>
            <w:r w:rsidR="00434632">
              <w:rPr>
                <w:rFonts w:ascii="Arial" w:hAnsi="Arial" w:cs="Arial"/>
                <w:sz w:val="24"/>
                <w:szCs w:val="24"/>
              </w:rPr>
              <w:t xml:space="preserve"> programme</w:t>
            </w:r>
            <w:r w:rsidR="00182A13">
              <w:rPr>
                <w:rFonts w:ascii="Arial" w:hAnsi="Arial" w:cs="Arial"/>
                <w:sz w:val="24"/>
                <w:szCs w:val="24"/>
              </w:rPr>
              <w:t xml:space="preserve"> for participating businesses</w:t>
            </w:r>
          </w:p>
        </w:tc>
        <w:tc>
          <w:tcPr>
            <w:tcW w:w="4508" w:type="dxa"/>
          </w:tcPr>
          <w:p w14:paraId="074920BA" w14:textId="379E3706" w:rsidR="00C8254F" w:rsidRPr="00934659" w:rsidRDefault="00685521" w:rsidP="00F61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one</w:t>
            </w:r>
            <w:r w:rsidR="006A345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day Accessibility Champion training </w:t>
            </w:r>
            <w:r w:rsidR="007D045C">
              <w:rPr>
                <w:rFonts w:ascii="Arial" w:hAnsi="Arial" w:cs="Arial"/>
                <w:sz w:val="24"/>
                <w:szCs w:val="24"/>
              </w:rPr>
              <w:t xml:space="preserve">programme, </w:t>
            </w:r>
            <w:r>
              <w:rPr>
                <w:rFonts w:ascii="Arial" w:hAnsi="Arial" w:cs="Arial"/>
                <w:sz w:val="24"/>
                <w:szCs w:val="24"/>
              </w:rPr>
              <w:t>which meets the learning outcomes identified</w:t>
            </w:r>
            <w:r w:rsidR="007D045C">
              <w:rPr>
                <w:rFonts w:ascii="Arial" w:hAnsi="Arial" w:cs="Arial"/>
                <w:sz w:val="24"/>
                <w:szCs w:val="24"/>
              </w:rPr>
              <w:t>, delivered for participating businesses.</w:t>
            </w:r>
          </w:p>
        </w:tc>
      </w:tr>
    </w:tbl>
    <w:p w14:paraId="026A5F17" w14:textId="77777777" w:rsidR="0076307C" w:rsidRDefault="0076307C" w:rsidP="0076307C">
      <w:pPr>
        <w:tabs>
          <w:tab w:val="left" w:pos="7463"/>
        </w:tabs>
        <w:jc w:val="both"/>
        <w:rPr>
          <w:rFonts w:ascii="Arial" w:hAnsi="Arial" w:cs="Arial"/>
          <w:b/>
          <w:sz w:val="24"/>
          <w:szCs w:val="24"/>
        </w:rPr>
      </w:pPr>
    </w:p>
    <w:p w14:paraId="7EC4E603" w14:textId="77777777" w:rsidR="00C63CD7" w:rsidRDefault="00C63CD7" w:rsidP="0076307C">
      <w:pPr>
        <w:tabs>
          <w:tab w:val="left" w:pos="7463"/>
        </w:tabs>
        <w:jc w:val="both"/>
        <w:rPr>
          <w:rFonts w:ascii="Arial" w:hAnsi="Arial" w:cs="Arial"/>
          <w:b/>
          <w:sz w:val="24"/>
          <w:szCs w:val="24"/>
        </w:rPr>
      </w:pPr>
    </w:p>
    <w:p w14:paraId="0F60307D" w14:textId="77777777" w:rsidR="00C63CD7" w:rsidRDefault="00C63CD7" w:rsidP="0076307C">
      <w:pPr>
        <w:tabs>
          <w:tab w:val="left" w:pos="7463"/>
        </w:tabs>
        <w:jc w:val="both"/>
        <w:rPr>
          <w:rFonts w:ascii="Arial" w:hAnsi="Arial" w:cs="Arial"/>
          <w:b/>
          <w:sz w:val="24"/>
          <w:szCs w:val="24"/>
        </w:rPr>
      </w:pPr>
    </w:p>
    <w:p w14:paraId="3B4B5693" w14:textId="7D65290E" w:rsidR="00F54CBF" w:rsidRDefault="0076307C" w:rsidP="0076307C">
      <w:pPr>
        <w:tabs>
          <w:tab w:val="left" w:pos="7463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Recruitment </w:t>
      </w:r>
      <w:r w:rsidR="006A3450">
        <w:rPr>
          <w:rFonts w:ascii="Arial" w:hAnsi="Arial" w:cs="Arial"/>
          <w:b/>
          <w:sz w:val="24"/>
          <w:szCs w:val="24"/>
        </w:rPr>
        <w:t>g</w:t>
      </w:r>
      <w:r w:rsidR="00597B8F">
        <w:rPr>
          <w:rFonts w:ascii="Arial" w:hAnsi="Arial" w:cs="Arial"/>
          <w:b/>
          <w:sz w:val="24"/>
          <w:szCs w:val="24"/>
        </w:rPr>
        <w:t>uidance</w:t>
      </w:r>
    </w:p>
    <w:p w14:paraId="6BEEEC01" w14:textId="1C7088EB" w:rsidR="00F54CBF" w:rsidRPr="00F54CBF" w:rsidRDefault="00F54CBF" w:rsidP="00B30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guidanc</w:t>
      </w:r>
      <w:r w:rsidR="00D167EF">
        <w:rPr>
          <w:rFonts w:ascii="Arial" w:hAnsi="Arial" w:cs="Arial"/>
          <w:sz w:val="24"/>
          <w:szCs w:val="24"/>
        </w:rPr>
        <w:t xml:space="preserve">e </w:t>
      </w:r>
      <w:r w:rsidR="00EE310D">
        <w:rPr>
          <w:rFonts w:ascii="Arial" w:hAnsi="Arial" w:cs="Arial"/>
          <w:sz w:val="24"/>
          <w:szCs w:val="24"/>
        </w:rPr>
        <w:t>is</w:t>
      </w:r>
      <w:r w:rsidR="00D167EF">
        <w:rPr>
          <w:rFonts w:ascii="Arial" w:hAnsi="Arial" w:cs="Arial"/>
          <w:sz w:val="24"/>
          <w:szCs w:val="24"/>
        </w:rPr>
        <w:t xml:space="preserve"> designed to support you in </w:t>
      </w:r>
      <w:r w:rsidR="0076307C">
        <w:rPr>
          <w:rFonts w:ascii="Arial" w:hAnsi="Arial" w:cs="Arial"/>
          <w:sz w:val="24"/>
          <w:szCs w:val="24"/>
        </w:rPr>
        <w:t xml:space="preserve">recruiting a training provider </w:t>
      </w:r>
      <w:r w:rsidR="00D167EF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deliver the</w:t>
      </w:r>
      <w:r w:rsidR="0076307C">
        <w:rPr>
          <w:rFonts w:ascii="Arial" w:hAnsi="Arial" w:cs="Arial"/>
          <w:sz w:val="24"/>
          <w:szCs w:val="24"/>
        </w:rPr>
        <w:t xml:space="preserve"> Accessibility Champion programme. </w:t>
      </w:r>
      <w:r>
        <w:rPr>
          <w:rFonts w:ascii="Arial" w:hAnsi="Arial" w:cs="Arial"/>
          <w:sz w:val="24"/>
          <w:szCs w:val="24"/>
        </w:rPr>
        <w:t>It outlines the skills, knowledge and exper</w:t>
      </w:r>
      <w:r w:rsidR="00EE310D">
        <w:rPr>
          <w:rFonts w:ascii="Arial" w:hAnsi="Arial" w:cs="Arial"/>
          <w:sz w:val="24"/>
          <w:szCs w:val="24"/>
        </w:rPr>
        <w:t>ience needed</w:t>
      </w:r>
      <w:r w:rsidR="00D167EF">
        <w:rPr>
          <w:rFonts w:ascii="Arial" w:hAnsi="Arial" w:cs="Arial"/>
          <w:sz w:val="24"/>
          <w:szCs w:val="24"/>
        </w:rPr>
        <w:t xml:space="preserve"> to fulfil this role, and suggests the type of </w:t>
      </w:r>
      <w:r>
        <w:rPr>
          <w:rFonts w:ascii="Arial" w:hAnsi="Arial" w:cs="Arial"/>
          <w:sz w:val="24"/>
          <w:szCs w:val="24"/>
        </w:rPr>
        <w:t xml:space="preserve">supporting </w:t>
      </w:r>
      <w:r w:rsidR="00D167EF">
        <w:rPr>
          <w:rFonts w:ascii="Arial" w:hAnsi="Arial" w:cs="Arial"/>
          <w:sz w:val="24"/>
          <w:szCs w:val="24"/>
        </w:rPr>
        <w:t xml:space="preserve">evidence </w:t>
      </w:r>
      <w:r w:rsidR="00EE310D">
        <w:rPr>
          <w:rFonts w:ascii="Arial" w:hAnsi="Arial" w:cs="Arial"/>
          <w:sz w:val="24"/>
          <w:szCs w:val="24"/>
        </w:rPr>
        <w:t>required</w:t>
      </w:r>
      <w:r w:rsidR="00D167EF">
        <w:rPr>
          <w:rFonts w:ascii="Arial" w:hAnsi="Arial" w:cs="Arial"/>
          <w:sz w:val="24"/>
          <w:szCs w:val="24"/>
        </w:rPr>
        <w:t xml:space="preserve"> to demonstrate competence. This evidence can be requested as part of the tendering</w:t>
      </w:r>
      <w:r w:rsidR="00EE310D">
        <w:rPr>
          <w:rFonts w:ascii="Arial" w:hAnsi="Arial" w:cs="Arial"/>
          <w:sz w:val="24"/>
          <w:szCs w:val="24"/>
        </w:rPr>
        <w:t xml:space="preserve"> </w:t>
      </w:r>
      <w:r w:rsidR="00A90B52">
        <w:rPr>
          <w:rFonts w:ascii="Arial" w:hAnsi="Arial" w:cs="Arial"/>
          <w:sz w:val="24"/>
          <w:szCs w:val="24"/>
        </w:rPr>
        <w:t>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54CBF" w14:paraId="799814E9" w14:textId="77777777" w:rsidTr="00F54CBF">
        <w:tc>
          <w:tcPr>
            <w:tcW w:w="9016" w:type="dxa"/>
            <w:gridSpan w:val="2"/>
            <w:shd w:val="clear" w:color="auto" w:fill="FF0000"/>
          </w:tcPr>
          <w:p w14:paraId="1428BAEF" w14:textId="6904D94E" w:rsidR="00F54CBF" w:rsidRPr="00F54CBF" w:rsidRDefault="00F54CBF" w:rsidP="00B300A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Recruitment and </w:t>
            </w:r>
            <w:r w:rsidR="006A34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election </w:t>
            </w:r>
            <w:r w:rsidR="00597B8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guidance</w:t>
            </w:r>
          </w:p>
        </w:tc>
      </w:tr>
      <w:tr w:rsidR="00F54CBF" w14:paraId="0806774B" w14:textId="77777777" w:rsidTr="00F54CBF">
        <w:tc>
          <w:tcPr>
            <w:tcW w:w="4508" w:type="dxa"/>
            <w:shd w:val="clear" w:color="auto" w:fill="D9D9D9" w:themeFill="background1" w:themeFillShade="D9"/>
          </w:tcPr>
          <w:p w14:paraId="5A672C09" w14:textId="52715CAF" w:rsidR="00F54CBF" w:rsidRDefault="00F54CBF" w:rsidP="00B30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Skills, knowledge &amp; experience required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43114164" w14:textId="5DD4C74D" w:rsidR="00F54CBF" w:rsidRDefault="00F54CBF" w:rsidP="00B30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Supporting evidence</w:t>
            </w:r>
            <w:r w:rsidR="00EE310D">
              <w:rPr>
                <w:rFonts w:ascii="Arial" w:hAnsi="Arial" w:cs="Arial"/>
                <w:b/>
                <w:sz w:val="24"/>
                <w:szCs w:val="24"/>
              </w:rPr>
              <w:t xml:space="preserve"> required</w:t>
            </w:r>
          </w:p>
        </w:tc>
      </w:tr>
      <w:tr w:rsidR="00F54CBF" w14:paraId="3CD37FF1" w14:textId="77777777" w:rsidTr="00F54CBF">
        <w:tc>
          <w:tcPr>
            <w:tcW w:w="4508" w:type="dxa"/>
          </w:tcPr>
          <w:p w14:paraId="355CE719" w14:textId="3112881A" w:rsidR="00F54CBF" w:rsidRPr="005814EA" w:rsidRDefault="005814EA" w:rsidP="005814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cle</w:t>
            </w:r>
            <w:r w:rsidR="00434632">
              <w:rPr>
                <w:rFonts w:ascii="Arial" w:hAnsi="Arial" w:cs="Arial"/>
                <w:sz w:val="24"/>
                <w:szCs w:val="24"/>
              </w:rPr>
              <w:t xml:space="preserve">ar understanding of the training </w:t>
            </w:r>
            <w:r>
              <w:rPr>
                <w:rFonts w:ascii="Arial" w:hAnsi="Arial" w:cs="Arial"/>
                <w:sz w:val="24"/>
                <w:szCs w:val="24"/>
              </w:rPr>
              <w:t>brief, challenges and critical success factors</w:t>
            </w:r>
          </w:p>
        </w:tc>
        <w:tc>
          <w:tcPr>
            <w:tcW w:w="4508" w:type="dxa"/>
          </w:tcPr>
          <w:p w14:paraId="1D3274C4" w14:textId="75C3544A" w:rsidR="005814EA" w:rsidRPr="005814EA" w:rsidRDefault="005814EA" w:rsidP="005814EA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B06A2">
              <w:rPr>
                <w:rFonts w:ascii="Arial" w:eastAsia="Calibri" w:hAnsi="Arial" w:cs="Arial"/>
                <w:color w:val="000000"/>
                <w:sz w:val="24"/>
                <w:szCs w:val="24"/>
              </w:rPr>
              <w:t>A demonstrable underst</w:t>
            </w:r>
            <w:r w:rsidR="00434632">
              <w:rPr>
                <w:rFonts w:ascii="Arial" w:eastAsia="Calibri" w:hAnsi="Arial" w:cs="Arial"/>
                <w:color w:val="000000"/>
                <w:sz w:val="24"/>
                <w:szCs w:val="24"/>
              </w:rPr>
              <w:t>anding of the training brief</w:t>
            </w:r>
            <w:r w:rsidRPr="000B06A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and those iss</w:t>
            </w:r>
            <w:r w:rsidR="00E62A25">
              <w:rPr>
                <w:rFonts w:ascii="Arial" w:eastAsia="Calibri" w:hAnsi="Arial" w:cs="Arial"/>
                <w:color w:val="000000"/>
                <w:sz w:val="24"/>
                <w:szCs w:val="24"/>
              </w:rPr>
              <w:t>ues that will be critical to</w:t>
            </w:r>
            <w:r w:rsidR="00D847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its:</w:t>
            </w:r>
          </w:p>
          <w:p w14:paraId="33B648BD" w14:textId="77777777" w:rsidR="005814EA" w:rsidRPr="005814EA" w:rsidRDefault="005814EA" w:rsidP="005814EA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814EA">
              <w:rPr>
                <w:rFonts w:ascii="Arial" w:eastAsia="Calibri" w:hAnsi="Arial" w:cs="Arial"/>
                <w:color w:val="000000"/>
                <w:sz w:val="24"/>
                <w:szCs w:val="24"/>
              </w:rPr>
              <w:t>implementation</w:t>
            </w:r>
          </w:p>
          <w:p w14:paraId="731143B6" w14:textId="77777777" w:rsidR="005814EA" w:rsidRPr="005814EA" w:rsidRDefault="005814EA" w:rsidP="005814EA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814EA">
              <w:rPr>
                <w:rFonts w:ascii="Arial" w:eastAsia="Calibri" w:hAnsi="Arial" w:cs="Arial"/>
                <w:color w:val="000000"/>
                <w:sz w:val="24"/>
                <w:szCs w:val="24"/>
              </w:rPr>
              <w:t>development</w:t>
            </w:r>
          </w:p>
          <w:p w14:paraId="785FA123" w14:textId="5039CE6E" w:rsidR="005814EA" w:rsidRPr="005814EA" w:rsidRDefault="005814EA" w:rsidP="005814EA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814EA">
              <w:rPr>
                <w:rFonts w:ascii="Arial" w:eastAsia="Calibri" w:hAnsi="Arial" w:cs="Arial"/>
                <w:color w:val="000000"/>
                <w:sz w:val="24"/>
                <w:szCs w:val="24"/>
              </w:rPr>
              <w:t>long-term success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and </w:t>
            </w:r>
          </w:p>
          <w:p w14:paraId="1D612622" w14:textId="77777777" w:rsidR="00F54CBF" w:rsidRDefault="005814EA" w:rsidP="005814EA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sustainability</w:t>
            </w:r>
          </w:p>
          <w:p w14:paraId="481A87AB" w14:textId="2EC44A4B" w:rsidR="00C118E2" w:rsidRPr="005814EA" w:rsidRDefault="00C118E2" w:rsidP="005814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4CBF" w14:paraId="07F806D3" w14:textId="77777777" w:rsidTr="00F54CBF">
        <w:tc>
          <w:tcPr>
            <w:tcW w:w="4508" w:type="dxa"/>
          </w:tcPr>
          <w:p w14:paraId="18E00BB5" w14:textId="1AD98B77" w:rsidR="00F54CBF" w:rsidRPr="005814EA" w:rsidRDefault="00F54CBF" w:rsidP="005814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39BB2472" w14:textId="77777777" w:rsidR="00F54CBF" w:rsidRDefault="005814EA" w:rsidP="00B300A1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814EA">
              <w:rPr>
                <w:rFonts w:ascii="Arial" w:eastAsia="Calibri" w:hAnsi="Arial" w:cs="Arial"/>
                <w:color w:val="000000"/>
                <w:sz w:val="24"/>
                <w:szCs w:val="24"/>
              </w:rPr>
              <w:t>A demonstrable understanding of the ke</w:t>
            </w:r>
            <w:r w:rsidR="00D847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y challenges and risks </w:t>
            </w:r>
            <w:r w:rsidRPr="005814EA">
              <w:rPr>
                <w:rFonts w:ascii="Arial" w:eastAsia="Calibri" w:hAnsi="Arial" w:cs="Arial"/>
                <w:color w:val="000000"/>
                <w:sz w:val="24"/>
                <w:szCs w:val="24"/>
              </w:rPr>
              <w:t>and how these may be mitigated</w:t>
            </w:r>
          </w:p>
          <w:p w14:paraId="662DD959" w14:textId="19E93191" w:rsidR="00C118E2" w:rsidRPr="005814EA" w:rsidRDefault="00C118E2" w:rsidP="00B300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14EA" w14:paraId="42AC39EE" w14:textId="77777777" w:rsidTr="00F54CBF">
        <w:tc>
          <w:tcPr>
            <w:tcW w:w="4508" w:type="dxa"/>
          </w:tcPr>
          <w:p w14:paraId="0C9DA92F" w14:textId="1ABB5FCE" w:rsidR="005814EA" w:rsidRPr="005814EA" w:rsidRDefault="005814EA" w:rsidP="00434632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A clear methodology to deliver the </w:t>
            </w:r>
            <w:r w:rsidR="00434632">
              <w:rPr>
                <w:rFonts w:ascii="Arial" w:eastAsia="Calibri" w:hAnsi="Arial" w:cs="Arial"/>
                <w:color w:val="000000"/>
                <w:sz w:val="24"/>
                <w:szCs w:val="24"/>
              </w:rPr>
              <w:t>training wh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ich is professional, innovative and creative in its approach</w:t>
            </w:r>
          </w:p>
        </w:tc>
        <w:tc>
          <w:tcPr>
            <w:tcW w:w="4508" w:type="dxa"/>
          </w:tcPr>
          <w:p w14:paraId="3FCB6819" w14:textId="1A731B14" w:rsidR="005814EA" w:rsidRDefault="005C67E3" w:rsidP="005C67E3">
            <w:pPr>
              <w:spacing w:before="120" w:after="120"/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A</w:t>
            </w:r>
            <w:r w:rsidR="00E62A2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clear proposal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to deliver </w:t>
            </w:r>
            <w:r w:rsidR="0043463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the training to the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standards and timescales required</w:t>
            </w:r>
            <w:r w:rsidR="00EE310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provided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, with examples of creativity and innovation highlighted.</w:t>
            </w:r>
          </w:p>
          <w:p w14:paraId="17701A43" w14:textId="3465346D" w:rsidR="00C118E2" w:rsidRPr="005814EA" w:rsidRDefault="00C118E2" w:rsidP="005C67E3">
            <w:pPr>
              <w:spacing w:before="120" w:after="1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A25" w14:paraId="275A20B5" w14:textId="77777777" w:rsidTr="00F54CBF">
        <w:tc>
          <w:tcPr>
            <w:tcW w:w="4508" w:type="dxa"/>
          </w:tcPr>
          <w:p w14:paraId="7300916B" w14:textId="690B0C80" w:rsidR="00E62A25" w:rsidRDefault="004F4CE9" w:rsidP="004F4CE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Suitable qualifications</w:t>
            </w:r>
            <w:r w:rsidR="00E62A25">
              <w:rPr>
                <w:rFonts w:ascii="Arial" w:eastAsia="Calibri" w:hAnsi="Arial" w:cs="Arial"/>
                <w:color w:val="000000"/>
                <w:sz w:val="24"/>
                <w:szCs w:val="24"/>
              </w:rPr>
              <w:t>, experience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, expertise, skills and capacity to deliver</w:t>
            </w:r>
            <w:r w:rsidR="00E62A2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434632">
              <w:rPr>
                <w:rFonts w:ascii="Arial" w:eastAsia="Calibri" w:hAnsi="Arial" w:cs="Arial"/>
                <w:color w:val="000000"/>
                <w:sz w:val="24"/>
                <w:szCs w:val="24"/>
              </w:rPr>
              <w:t>the training</w:t>
            </w:r>
          </w:p>
        </w:tc>
        <w:tc>
          <w:tcPr>
            <w:tcW w:w="4508" w:type="dxa"/>
          </w:tcPr>
          <w:p w14:paraId="69387749" w14:textId="418B9F9A" w:rsidR="004F4CE9" w:rsidRDefault="004F4CE9" w:rsidP="004F4CE9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Names and positions of key pe</w:t>
            </w:r>
            <w:r w:rsidR="00287E7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rsonnel delivering the training </w:t>
            </w:r>
            <w:r w:rsidR="00EE310D">
              <w:rPr>
                <w:rFonts w:ascii="Arial" w:eastAsia="Calibri" w:hAnsi="Arial" w:cs="Arial"/>
                <w:color w:val="000000"/>
                <w:sz w:val="24"/>
                <w:szCs w:val="24"/>
              </w:rPr>
              <w:t>provided</w:t>
            </w:r>
          </w:p>
          <w:p w14:paraId="2D9C77D6" w14:textId="1CE7B6A0" w:rsidR="003512AC" w:rsidRPr="003512AC" w:rsidRDefault="004F4CE9" w:rsidP="003512AC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CV for each person</w:t>
            </w:r>
            <w:r w:rsidR="00EE310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provided,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including specific experience </w:t>
            </w:r>
            <w:r w:rsidR="003512A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and qualifications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relevant to the </w:t>
            </w:r>
            <w:r w:rsidR="00C63CD7">
              <w:rPr>
                <w:rFonts w:ascii="Arial" w:eastAsia="Calibri" w:hAnsi="Arial" w:cs="Arial"/>
                <w:color w:val="000000"/>
                <w:sz w:val="24"/>
                <w:szCs w:val="24"/>
              </w:rPr>
              <w:t>training</w:t>
            </w:r>
            <w:r w:rsidR="003512A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 </w:t>
            </w:r>
            <w:r w:rsidR="00EE310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(max 2 pages per person)</w:t>
            </w:r>
          </w:p>
          <w:p w14:paraId="24035E8B" w14:textId="4C200231" w:rsidR="004F4CE9" w:rsidRDefault="004F4CE9" w:rsidP="004F4CE9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Roles and responsibility of ea</w:t>
            </w:r>
            <w:r w:rsidR="00EE310D">
              <w:rPr>
                <w:rFonts w:ascii="Arial" w:eastAsia="Calibri" w:hAnsi="Arial" w:cs="Arial"/>
                <w:color w:val="000000"/>
                <w:sz w:val="24"/>
                <w:szCs w:val="24"/>
              </w:rPr>
              <w:t>ch individual outlined</w:t>
            </w:r>
          </w:p>
          <w:p w14:paraId="11532E4D" w14:textId="77777777" w:rsidR="005C5933" w:rsidRDefault="004F4CE9" w:rsidP="005C5933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Capacity </w:t>
            </w:r>
            <w:r w:rsidR="00EE310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for each person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to deliver within the specified timescale</w:t>
            </w:r>
            <w:r w:rsidR="00EE310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demonstrated</w:t>
            </w:r>
          </w:p>
          <w:p w14:paraId="77D7A822" w14:textId="3DF6AD3B" w:rsidR="00C118E2" w:rsidRPr="005C5933" w:rsidRDefault="00C118E2" w:rsidP="00C118E2">
            <w:pPr>
              <w:pStyle w:val="ListParagraph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C5933" w14:paraId="536F4A1C" w14:textId="77777777" w:rsidTr="00F54CBF">
        <w:tc>
          <w:tcPr>
            <w:tcW w:w="4508" w:type="dxa"/>
          </w:tcPr>
          <w:p w14:paraId="71CBDC58" w14:textId="47910745" w:rsidR="005C5933" w:rsidRDefault="005C5933" w:rsidP="005C593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A proven track record in the sector</w:t>
            </w:r>
          </w:p>
        </w:tc>
        <w:tc>
          <w:tcPr>
            <w:tcW w:w="4508" w:type="dxa"/>
          </w:tcPr>
          <w:p w14:paraId="21D0C7A2" w14:textId="19DD4C88" w:rsidR="005C5933" w:rsidRPr="005C5933" w:rsidRDefault="005C5933" w:rsidP="005C593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C5933">
              <w:rPr>
                <w:rFonts w:ascii="Arial" w:eastAsia="Calibri" w:hAnsi="Arial" w:cs="Arial"/>
                <w:color w:val="000000"/>
                <w:sz w:val="24"/>
                <w:szCs w:val="24"/>
              </w:rPr>
              <w:t>Examples of</w:t>
            </w:r>
            <w:r w:rsidR="00287E7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previous, relevant training</w:t>
            </w:r>
            <w:r w:rsidRPr="005C59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provided e.g. in the form of case studies</w:t>
            </w:r>
            <w:r w:rsidRPr="005C593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</w:t>
            </w:r>
            <w:r w:rsidRPr="005C59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max </w:t>
            </w:r>
            <w:r w:rsidR="006A3450">
              <w:rPr>
                <w:rFonts w:ascii="Arial" w:eastAsia="Calibri" w:hAnsi="Arial" w:cs="Arial"/>
                <w:color w:val="000000"/>
                <w:sz w:val="24"/>
                <w:szCs w:val="24"/>
              </w:rPr>
              <w:t>one</w:t>
            </w:r>
            <w:r w:rsidRPr="005C59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page per case study)</w:t>
            </w:r>
          </w:p>
          <w:p w14:paraId="2D41DB75" w14:textId="77777777" w:rsidR="005C5933" w:rsidRDefault="005C5933" w:rsidP="005C5933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Names and contact </w:t>
            </w:r>
            <w:r w:rsidR="008F09CE">
              <w:rPr>
                <w:rFonts w:ascii="Arial" w:eastAsia="Calibri" w:hAnsi="Arial" w:cs="Arial"/>
                <w:color w:val="000000"/>
                <w:sz w:val="24"/>
                <w:szCs w:val="24"/>
              </w:rPr>
              <w:t>details of two referees given</w:t>
            </w:r>
          </w:p>
          <w:p w14:paraId="34D11069" w14:textId="699B970D" w:rsidR="00C118E2" w:rsidRDefault="00C118E2" w:rsidP="00C118E2">
            <w:pPr>
              <w:pStyle w:val="ListParagraph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615D6BCD" w14:textId="011111D2" w:rsidR="00C63CD7" w:rsidRDefault="00C63CD7" w:rsidP="00B300A1">
      <w:pPr>
        <w:rPr>
          <w:rFonts w:ascii="Arial" w:hAnsi="Arial" w:cs="Arial"/>
          <w:b/>
          <w:sz w:val="24"/>
          <w:szCs w:val="24"/>
        </w:rPr>
      </w:pPr>
    </w:p>
    <w:p w14:paraId="0D162637" w14:textId="77777777" w:rsidR="002E7CFE" w:rsidRDefault="00C63CD7" w:rsidP="00B300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Budget</w:t>
      </w:r>
      <w:r w:rsidR="002E7CFE">
        <w:rPr>
          <w:rFonts w:ascii="Arial" w:hAnsi="Arial" w:cs="Arial"/>
          <w:b/>
          <w:sz w:val="24"/>
          <w:szCs w:val="24"/>
        </w:rPr>
        <w:t>ing</w:t>
      </w:r>
    </w:p>
    <w:p w14:paraId="3CF3D293" w14:textId="090F4B67" w:rsidR="00C63CD7" w:rsidRDefault="00C63CD7" w:rsidP="00B30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budgeting </w:t>
      </w:r>
      <w:r w:rsidR="003C0469">
        <w:rPr>
          <w:rFonts w:ascii="Arial" w:hAnsi="Arial" w:cs="Arial"/>
          <w:sz w:val="24"/>
          <w:szCs w:val="24"/>
        </w:rPr>
        <w:t>for a training provider</w:t>
      </w:r>
      <w:r>
        <w:rPr>
          <w:rFonts w:ascii="Arial" w:hAnsi="Arial" w:cs="Arial"/>
          <w:sz w:val="24"/>
          <w:szCs w:val="24"/>
        </w:rPr>
        <w:t>, you will need to take into account the costs of</w:t>
      </w:r>
      <w:r w:rsidR="002E7CFE">
        <w:rPr>
          <w:rFonts w:ascii="Arial" w:hAnsi="Arial" w:cs="Arial"/>
          <w:sz w:val="24"/>
          <w:szCs w:val="24"/>
        </w:rPr>
        <w:t xml:space="preserve"> the elements highlighted below</w:t>
      </w:r>
      <w:r w:rsidR="00070BE5">
        <w:rPr>
          <w:rFonts w:ascii="Arial" w:hAnsi="Arial" w:cs="Arial"/>
          <w:sz w:val="24"/>
          <w:szCs w:val="24"/>
        </w:rPr>
        <w:t>. Whilst costs will vary, guideline costs are provided below:</w:t>
      </w:r>
    </w:p>
    <w:p w14:paraId="587B37C8" w14:textId="17A8F4CD" w:rsidR="00C63CD7" w:rsidRDefault="00C63CD7" w:rsidP="00C63CD7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F431C">
        <w:rPr>
          <w:rFonts w:ascii="Arial" w:hAnsi="Arial" w:cs="Arial"/>
          <w:b/>
          <w:sz w:val="24"/>
          <w:szCs w:val="24"/>
        </w:rPr>
        <w:t>The training provider</w:t>
      </w:r>
      <w:r w:rsidR="00070BE5">
        <w:rPr>
          <w:rFonts w:ascii="Arial" w:hAnsi="Arial" w:cs="Arial"/>
          <w:sz w:val="24"/>
          <w:szCs w:val="24"/>
        </w:rPr>
        <w:br/>
        <w:t>£1,000 - £1,200, including planning, delivery and travel expenses for a 1 day programme</w:t>
      </w:r>
    </w:p>
    <w:p w14:paraId="07F04807" w14:textId="7EF8FE37" w:rsidR="00070BE5" w:rsidRPr="001F431C" w:rsidRDefault="00C63CD7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F431C">
        <w:rPr>
          <w:rFonts w:ascii="Arial" w:hAnsi="Arial" w:cs="Arial"/>
          <w:b/>
          <w:sz w:val="24"/>
          <w:szCs w:val="24"/>
        </w:rPr>
        <w:t xml:space="preserve">Room </w:t>
      </w:r>
      <w:proofErr w:type="gramStart"/>
      <w:r w:rsidRPr="001F431C">
        <w:rPr>
          <w:rFonts w:ascii="Arial" w:hAnsi="Arial" w:cs="Arial"/>
          <w:b/>
          <w:sz w:val="24"/>
          <w:szCs w:val="24"/>
        </w:rPr>
        <w:t>hire</w:t>
      </w:r>
      <w:proofErr w:type="gramEnd"/>
      <w:r w:rsidR="00070BE5" w:rsidRPr="001F431C">
        <w:rPr>
          <w:rFonts w:ascii="Arial" w:hAnsi="Arial" w:cs="Arial"/>
          <w:b/>
          <w:sz w:val="24"/>
          <w:szCs w:val="24"/>
        </w:rPr>
        <w:t xml:space="preserve"> and delegate refreshments</w:t>
      </w:r>
      <w:r w:rsidR="00234233">
        <w:rPr>
          <w:rFonts w:ascii="Arial" w:hAnsi="Arial" w:cs="Arial"/>
          <w:sz w:val="24"/>
          <w:szCs w:val="24"/>
        </w:rPr>
        <w:br/>
      </w:r>
      <w:r w:rsidR="00070BE5" w:rsidRPr="001F431C">
        <w:rPr>
          <w:rFonts w:ascii="Arial" w:hAnsi="Arial" w:cs="Arial"/>
          <w:sz w:val="24"/>
          <w:szCs w:val="24"/>
        </w:rPr>
        <w:t xml:space="preserve">£800 </w:t>
      </w:r>
      <w:r w:rsidR="00070BE5">
        <w:rPr>
          <w:rFonts w:ascii="Arial" w:hAnsi="Arial" w:cs="Arial"/>
          <w:sz w:val="24"/>
          <w:szCs w:val="24"/>
        </w:rPr>
        <w:t>- £1,000</w:t>
      </w:r>
    </w:p>
    <w:p w14:paraId="7557EEC7" w14:textId="69F35075" w:rsidR="00C63CD7" w:rsidRPr="00C63CD7" w:rsidRDefault="00C34CCA" w:rsidP="00C63CD7">
      <w:pPr>
        <w:rPr>
          <w:rFonts w:ascii="Arial" w:hAnsi="Arial" w:cs="Arial"/>
          <w:sz w:val="24"/>
          <w:szCs w:val="24"/>
        </w:rPr>
      </w:pPr>
      <w:r w:rsidRPr="00C34CCA">
        <w:rPr>
          <w:rFonts w:ascii="Arial" w:hAnsi="Arial" w:cs="Arial"/>
          <w:sz w:val="24"/>
          <w:szCs w:val="24"/>
        </w:rPr>
        <w:t>Within the tender documentation, it is important to spec</w:t>
      </w:r>
      <w:r>
        <w:rPr>
          <w:rFonts w:ascii="Arial" w:hAnsi="Arial" w:cs="Arial"/>
          <w:sz w:val="24"/>
          <w:szCs w:val="24"/>
        </w:rPr>
        <w:t xml:space="preserve">ify whether you require the training provider </w:t>
      </w:r>
      <w:r w:rsidRPr="00C34CCA">
        <w:rPr>
          <w:rFonts w:ascii="Arial" w:hAnsi="Arial" w:cs="Arial"/>
          <w:sz w:val="24"/>
          <w:szCs w:val="24"/>
        </w:rPr>
        <w:t>to pay the above costs in the first instance and then reclaim them from the LVEP, or whether the LVEP will be meeting these costs directly.</w:t>
      </w:r>
    </w:p>
    <w:sectPr w:rsidR="00C63CD7" w:rsidRPr="00C63CD7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A90D6" w14:textId="77777777" w:rsidR="00DF1D76" w:rsidRDefault="00DF1D76" w:rsidP="00604B94">
      <w:pPr>
        <w:spacing w:after="0" w:line="240" w:lineRule="auto"/>
      </w:pPr>
      <w:r>
        <w:separator/>
      </w:r>
    </w:p>
  </w:endnote>
  <w:endnote w:type="continuationSeparator" w:id="0">
    <w:p w14:paraId="12425DCD" w14:textId="77777777" w:rsidR="00DF1D76" w:rsidRDefault="00DF1D76" w:rsidP="0060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42014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FB88B3" w14:textId="68174EA2" w:rsidR="00C43803" w:rsidRDefault="00C43803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22253E" w14:textId="77777777" w:rsidR="00C43803" w:rsidRDefault="00C43803" w:rsidP="00C438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8237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A95CEB" w14:textId="0BAF9D59" w:rsidR="00C43803" w:rsidRDefault="00C43803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22A17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3B08773" w14:textId="793C0192" w:rsidR="00604B94" w:rsidRPr="00604B94" w:rsidRDefault="00604B94" w:rsidP="00C43803">
    <w:pPr>
      <w:pStyle w:val="Footer"/>
      <w:ind w:right="360"/>
      <w:rPr>
        <w:rFonts w:ascii="Arial" w:hAnsi="Arial" w:cs="Arial"/>
      </w:rPr>
    </w:pPr>
    <w:r w:rsidRPr="00604B94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DC5AB" wp14:editId="56B4E1D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6CC882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" filled="f" strokecolor="#747070 [1614]" strokeweight="1.25pt">
              <w10:wrap anchorx="page" anchory="page"/>
            </v:rect>
          </w:pict>
        </mc:Fallback>
      </mc:AlternateContent>
    </w:r>
    <w:r w:rsidRPr="00604B94">
      <w:rPr>
        <w:rFonts w:ascii="Arial" w:hAnsi="Arial" w:cs="Arial"/>
      </w:rPr>
      <w:t>J</w:t>
    </w:r>
    <w:r w:rsidR="00122A17">
      <w:rPr>
        <w:rFonts w:ascii="Arial" w:hAnsi="Arial" w:cs="Arial"/>
      </w:rPr>
      <w:t>anuary 2024</w:t>
    </w:r>
    <w:r w:rsidRPr="00604B94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9EFE" w14:textId="77777777" w:rsidR="00DF1D76" w:rsidRDefault="00DF1D76" w:rsidP="00604B94">
      <w:pPr>
        <w:spacing w:after="0" w:line="240" w:lineRule="auto"/>
      </w:pPr>
      <w:r>
        <w:separator/>
      </w:r>
    </w:p>
  </w:footnote>
  <w:footnote w:type="continuationSeparator" w:id="0">
    <w:p w14:paraId="70B74095" w14:textId="77777777" w:rsidR="00DF1D76" w:rsidRDefault="00DF1D76" w:rsidP="00604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A8B"/>
    <w:multiLevelType w:val="hybridMultilevel"/>
    <w:tmpl w:val="A18AB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683CC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32496"/>
    <w:multiLevelType w:val="hybridMultilevel"/>
    <w:tmpl w:val="845E7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F5851"/>
    <w:multiLevelType w:val="multilevel"/>
    <w:tmpl w:val="1FE615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231856"/>
    <w:multiLevelType w:val="hybridMultilevel"/>
    <w:tmpl w:val="8A7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3467D0"/>
    <w:multiLevelType w:val="hybridMultilevel"/>
    <w:tmpl w:val="BAC80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E29FE"/>
    <w:multiLevelType w:val="hybridMultilevel"/>
    <w:tmpl w:val="DC0C5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119CE"/>
    <w:multiLevelType w:val="hybridMultilevel"/>
    <w:tmpl w:val="A970C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F01E8"/>
    <w:multiLevelType w:val="hybridMultilevel"/>
    <w:tmpl w:val="C1E4F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3579"/>
    <w:multiLevelType w:val="hybridMultilevel"/>
    <w:tmpl w:val="22EAD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C4475"/>
    <w:multiLevelType w:val="hybridMultilevel"/>
    <w:tmpl w:val="1EA06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94770"/>
    <w:multiLevelType w:val="hybridMultilevel"/>
    <w:tmpl w:val="C41CE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036258"/>
    <w:multiLevelType w:val="multilevel"/>
    <w:tmpl w:val="EFA88D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A5278D"/>
    <w:multiLevelType w:val="hybridMultilevel"/>
    <w:tmpl w:val="2CA06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AA7277"/>
    <w:multiLevelType w:val="hybridMultilevel"/>
    <w:tmpl w:val="03ECD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683CC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556F3D"/>
    <w:multiLevelType w:val="hybridMultilevel"/>
    <w:tmpl w:val="698E0D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5714FE"/>
    <w:multiLevelType w:val="hybridMultilevel"/>
    <w:tmpl w:val="25929F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7D494F"/>
    <w:multiLevelType w:val="hybridMultilevel"/>
    <w:tmpl w:val="62ACB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887E98"/>
    <w:multiLevelType w:val="hybridMultilevel"/>
    <w:tmpl w:val="AE3E1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3865B8"/>
    <w:multiLevelType w:val="hybridMultilevel"/>
    <w:tmpl w:val="0F8848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A655178"/>
    <w:multiLevelType w:val="hybridMultilevel"/>
    <w:tmpl w:val="F89E6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42788C"/>
    <w:multiLevelType w:val="hybridMultilevel"/>
    <w:tmpl w:val="0DB2E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215EF8"/>
    <w:multiLevelType w:val="multilevel"/>
    <w:tmpl w:val="F98E77CC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22" w15:restartNumberingAfterBreak="0">
    <w:nsid w:val="52AE16B3"/>
    <w:multiLevelType w:val="hybridMultilevel"/>
    <w:tmpl w:val="326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584EC2"/>
    <w:multiLevelType w:val="hybridMultilevel"/>
    <w:tmpl w:val="3A9AB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1A5A86"/>
    <w:multiLevelType w:val="hybridMultilevel"/>
    <w:tmpl w:val="FE50D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E6580"/>
    <w:multiLevelType w:val="hybridMultilevel"/>
    <w:tmpl w:val="43C2F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A75EEE"/>
    <w:multiLevelType w:val="hybridMultilevel"/>
    <w:tmpl w:val="51C0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863DA"/>
    <w:multiLevelType w:val="hybridMultilevel"/>
    <w:tmpl w:val="DFBAA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7653E"/>
    <w:multiLevelType w:val="hybridMultilevel"/>
    <w:tmpl w:val="7F405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16195">
    <w:abstractNumId w:val="7"/>
  </w:num>
  <w:num w:numId="2" w16cid:durableId="2010791481">
    <w:abstractNumId w:val="8"/>
  </w:num>
  <w:num w:numId="3" w16cid:durableId="339283813">
    <w:abstractNumId w:val="1"/>
  </w:num>
  <w:num w:numId="4" w16cid:durableId="256640580">
    <w:abstractNumId w:val="25"/>
  </w:num>
  <w:num w:numId="5" w16cid:durableId="2118526191">
    <w:abstractNumId w:val="14"/>
  </w:num>
  <w:num w:numId="6" w16cid:durableId="509221905">
    <w:abstractNumId w:val="15"/>
  </w:num>
  <w:num w:numId="7" w16cid:durableId="1027171287">
    <w:abstractNumId w:val="17"/>
  </w:num>
  <w:num w:numId="8" w16cid:durableId="965744910">
    <w:abstractNumId w:val="26"/>
  </w:num>
  <w:num w:numId="9" w16cid:durableId="183591158">
    <w:abstractNumId w:val="3"/>
  </w:num>
  <w:num w:numId="10" w16cid:durableId="1017927056">
    <w:abstractNumId w:val="18"/>
  </w:num>
  <w:num w:numId="11" w16cid:durableId="1822311282">
    <w:abstractNumId w:val="27"/>
  </w:num>
  <w:num w:numId="12" w16cid:durableId="1397775775">
    <w:abstractNumId w:val="10"/>
  </w:num>
  <w:num w:numId="13" w16cid:durableId="1776560183">
    <w:abstractNumId w:val="12"/>
  </w:num>
  <w:num w:numId="14" w16cid:durableId="1066686449">
    <w:abstractNumId w:val="4"/>
  </w:num>
  <w:num w:numId="15" w16cid:durableId="1114784839">
    <w:abstractNumId w:val="13"/>
  </w:num>
  <w:num w:numId="16" w16cid:durableId="1022784508">
    <w:abstractNumId w:val="0"/>
  </w:num>
  <w:num w:numId="17" w16cid:durableId="1804998757">
    <w:abstractNumId w:val="16"/>
  </w:num>
  <w:num w:numId="18" w16cid:durableId="2091854613">
    <w:abstractNumId w:val="11"/>
  </w:num>
  <w:num w:numId="19" w16cid:durableId="1342851663">
    <w:abstractNumId w:val="2"/>
  </w:num>
  <w:num w:numId="20" w16cid:durableId="114326319">
    <w:abstractNumId w:val="19"/>
  </w:num>
  <w:num w:numId="21" w16cid:durableId="1279796011">
    <w:abstractNumId w:val="28"/>
  </w:num>
  <w:num w:numId="22" w16cid:durableId="58752918">
    <w:abstractNumId w:val="20"/>
  </w:num>
  <w:num w:numId="23" w16cid:durableId="1959872283">
    <w:abstractNumId w:val="5"/>
  </w:num>
  <w:num w:numId="24" w16cid:durableId="274336341">
    <w:abstractNumId w:val="21"/>
  </w:num>
  <w:num w:numId="25" w16cid:durableId="1952542213">
    <w:abstractNumId w:val="23"/>
  </w:num>
  <w:num w:numId="26" w16cid:durableId="222647296">
    <w:abstractNumId w:val="6"/>
  </w:num>
  <w:num w:numId="27" w16cid:durableId="1382096408">
    <w:abstractNumId w:val="22"/>
  </w:num>
  <w:num w:numId="28" w16cid:durableId="2113889395">
    <w:abstractNumId w:val="24"/>
  </w:num>
  <w:num w:numId="29" w16cid:durableId="976182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5D"/>
    <w:rsid w:val="000406F4"/>
    <w:rsid w:val="00065F81"/>
    <w:rsid w:val="00070BE5"/>
    <w:rsid w:val="000712C9"/>
    <w:rsid w:val="00074438"/>
    <w:rsid w:val="000A4992"/>
    <w:rsid w:val="000B06A2"/>
    <w:rsid w:val="000E3F55"/>
    <w:rsid w:val="000E426E"/>
    <w:rsid w:val="00122A17"/>
    <w:rsid w:val="00132787"/>
    <w:rsid w:val="00135A81"/>
    <w:rsid w:val="001557AF"/>
    <w:rsid w:val="00175563"/>
    <w:rsid w:val="00182A13"/>
    <w:rsid w:val="001E7E20"/>
    <w:rsid w:val="001F431C"/>
    <w:rsid w:val="00210F50"/>
    <w:rsid w:val="00221321"/>
    <w:rsid w:val="00223A1B"/>
    <w:rsid w:val="00234233"/>
    <w:rsid w:val="00236222"/>
    <w:rsid w:val="002426DB"/>
    <w:rsid w:val="002507C7"/>
    <w:rsid w:val="002649D4"/>
    <w:rsid w:val="00282611"/>
    <w:rsid w:val="00287E74"/>
    <w:rsid w:val="002B02E0"/>
    <w:rsid w:val="002B2FD2"/>
    <w:rsid w:val="002C62C3"/>
    <w:rsid w:val="002E29B6"/>
    <w:rsid w:val="002E7CFE"/>
    <w:rsid w:val="002F65F9"/>
    <w:rsid w:val="002F706A"/>
    <w:rsid w:val="00310DD4"/>
    <w:rsid w:val="003512AC"/>
    <w:rsid w:val="0036473D"/>
    <w:rsid w:val="003A493F"/>
    <w:rsid w:val="003C0469"/>
    <w:rsid w:val="003C232C"/>
    <w:rsid w:val="003F370E"/>
    <w:rsid w:val="0041094D"/>
    <w:rsid w:val="0041589F"/>
    <w:rsid w:val="004219BF"/>
    <w:rsid w:val="0043315C"/>
    <w:rsid w:val="00434632"/>
    <w:rsid w:val="0049231F"/>
    <w:rsid w:val="004C6AF1"/>
    <w:rsid w:val="004D0006"/>
    <w:rsid w:val="004D4227"/>
    <w:rsid w:val="004D7D50"/>
    <w:rsid w:val="004E092E"/>
    <w:rsid w:val="004F0C0D"/>
    <w:rsid w:val="004F3F14"/>
    <w:rsid w:val="004F4CE9"/>
    <w:rsid w:val="0050706B"/>
    <w:rsid w:val="00523FC6"/>
    <w:rsid w:val="005426FB"/>
    <w:rsid w:val="00565394"/>
    <w:rsid w:val="00573B57"/>
    <w:rsid w:val="005814EA"/>
    <w:rsid w:val="00597B8F"/>
    <w:rsid w:val="005B74F4"/>
    <w:rsid w:val="005C5933"/>
    <w:rsid w:val="005C67E3"/>
    <w:rsid w:val="005D65AB"/>
    <w:rsid w:val="005E70C9"/>
    <w:rsid w:val="005F32B8"/>
    <w:rsid w:val="005F4632"/>
    <w:rsid w:val="00604B94"/>
    <w:rsid w:val="006454A5"/>
    <w:rsid w:val="00665E74"/>
    <w:rsid w:val="00685521"/>
    <w:rsid w:val="00690738"/>
    <w:rsid w:val="006A09CF"/>
    <w:rsid w:val="006A3450"/>
    <w:rsid w:val="006A5664"/>
    <w:rsid w:val="006A6646"/>
    <w:rsid w:val="00746D48"/>
    <w:rsid w:val="007562FC"/>
    <w:rsid w:val="0076307C"/>
    <w:rsid w:val="00790C3E"/>
    <w:rsid w:val="007A0540"/>
    <w:rsid w:val="007A7298"/>
    <w:rsid w:val="007D045C"/>
    <w:rsid w:val="007D56D0"/>
    <w:rsid w:val="00811977"/>
    <w:rsid w:val="00822E25"/>
    <w:rsid w:val="00827481"/>
    <w:rsid w:val="00881B14"/>
    <w:rsid w:val="00887306"/>
    <w:rsid w:val="00892D81"/>
    <w:rsid w:val="008F09CE"/>
    <w:rsid w:val="00920581"/>
    <w:rsid w:val="00934659"/>
    <w:rsid w:val="009377D9"/>
    <w:rsid w:val="00975636"/>
    <w:rsid w:val="00990B3C"/>
    <w:rsid w:val="009C2BF5"/>
    <w:rsid w:val="009C33B0"/>
    <w:rsid w:val="009F100B"/>
    <w:rsid w:val="00A0349D"/>
    <w:rsid w:val="00A05BA7"/>
    <w:rsid w:val="00A34124"/>
    <w:rsid w:val="00A90B52"/>
    <w:rsid w:val="00AB6C72"/>
    <w:rsid w:val="00AF68F3"/>
    <w:rsid w:val="00B044C7"/>
    <w:rsid w:val="00B300A1"/>
    <w:rsid w:val="00B32B92"/>
    <w:rsid w:val="00BA1E97"/>
    <w:rsid w:val="00BA5E10"/>
    <w:rsid w:val="00BE6841"/>
    <w:rsid w:val="00BE7058"/>
    <w:rsid w:val="00C118E2"/>
    <w:rsid w:val="00C1274D"/>
    <w:rsid w:val="00C25411"/>
    <w:rsid w:val="00C32777"/>
    <w:rsid w:val="00C34CCA"/>
    <w:rsid w:val="00C43803"/>
    <w:rsid w:val="00C63CD7"/>
    <w:rsid w:val="00C803E1"/>
    <w:rsid w:val="00C8254F"/>
    <w:rsid w:val="00C9769C"/>
    <w:rsid w:val="00CB3157"/>
    <w:rsid w:val="00CC6B5D"/>
    <w:rsid w:val="00CD11CD"/>
    <w:rsid w:val="00CD16FF"/>
    <w:rsid w:val="00CD1B1E"/>
    <w:rsid w:val="00CE2FF8"/>
    <w:rsid w:val="00CF5A8B"/>
    <w:rsid w:val="00CF7129"/>
    <w:rsid w:val="00D14149"/>
    <w:rsid w:val="00D167EF"/>
    <w:rsid w:val="00D33A60"/>
    <w:rsid w:val="00D72155"/>
    <w:rsid w:val="00D847B9"/>
    <w:rsid w:val="00D97EB3"/>
    <w:rsid w:val="00DA0AAC"/>
    <w:rsid w:val="00DE4BB8"/>
    <w:rsid w:val="00DE5D89"/>
    <w:rsid w:val="00DF1D76"/>
    <w:rsid w:val="00E43CC0"/>
    <w:rsid w:val="00E46A80"/>
    <w:rsid w:val="00E524B3"/>
    <w:rsid w:val="00E62A25"/>
    <w:rsid w:val="00E65A9D"/>
    <w:rsid w:val="00E660BF"/>
    <w:rsid w:val="00E77E16"/>
    <w:rsid w:val="00E955D3"/>
    <w:rsid w:val="00EB03C9"/>
    <w:rsid w:val="00EB5B52"/>
    <w:rsid w:val="00EC0265"/>
    <w:rsid w:val="00EC51D7"/>
    <w:rsid w:val="00ED7728"/>
    <w:rsid w:val="00EE310D"/>
    <w:rsid w:val="00F06207"/>
    <w:rsid w:val="00F1139E"/>
    <w:rsid w:val="00F15A58"/>
    <w:rsid w:val="00F52120"/>
    <w:rsid w:val="00F54CBF"/>
    <w:rsid w:val="00F61EBE"/>
    <w:rsid w:val="00F75B6F"/>
    <w:rsid w:val="00F86D86"/>
    <w:rsid w:val="00FF4075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659C"/>
  <w15:chartTrackingRefBased/>
  <w15:docId w15:val="{955C19B1-94A2-4AEB-97E1-93926E53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4F4"/>
    <w:pPr>
      <w:ind w:left="720"/>
      <w:contextualSpacing/>
    </w:pPr>
  </w:style>
  <w:style w:type="table" w:styleId="TableGrid">
    <w:name w:val="Table Grid"/>
    <w:basedOn w:val="TableNormal"/>
    <w:uiPriority w:val="39"/>
    <w:rsid w:val="005D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6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6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4"/>
  </w:style>
  <w:style w:type="paragraph" w:styleId="Footer">
    <w:name w:val="footer"/>
    <w:basedOn w:val="Normal"/>
    <w:link w:val="FooterChar"/>
    <w:uiPriority w:val="99"/>
    <w:unhideWhenUsed/>
    <w:rsid w:val="0060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4"/>
  </w:style>
  <w:style w:type="character" w:styleId="PageNumber">
    <w:name w:val="page number"/>
    <w:basedOn w:val="DefaultParagraphFont"/>
    <w:uiPriority w:val="99"/>
    <w:semiHidden/>
    <w:unhideWhenUsed/>
    <w:rsid w:val="00C43803"/>
  </w:style>
  <w:style w:type="character" w:styleId="Hyperlink">
    <w:name w:val="Hyperlink"/>
    <w:basedOn w:val="DefaultParagraphFont"/>
    <w:uiPriority w:val="99"/>
    <w:unhideWhenUsed/>
    <w:rsid w:val="00D97E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2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A3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britain.org/business-advice/make-your-business-accessible-and-inclusive/englands-inclusive-tourism-action-grou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sitbritain.org/business-advice/make-your-business-accessible-and-inclusive/visitengland-accessible-and-inclusi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Cooper</dc:creator>
  <cp:keywords/>
  <dc:description/>
  <cp:lastModifiedBy>Hannah Lowe</cp:lastModifiedBy>
  <cp:revision>10</cp:revision>
  <dcterms:created xsi:type="dcterms:W3CDTF">2023-07-13T17:41:00Z</dcterms:created>
  <dcterms:modified xsi:type="dcterms:W3CDTF">2024-03-21T12:07:00Z</dcterms:modified>
</cp:coreProperties>
</file>