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10" w:rsidRDefault="00B94F10" w:rsidP="00F46DCA">
      <w:pPr>
        <w:spacing w:after="0" w:line="240" w:lineRule="auto"/>
        <w:rPr>
          <w:rFonts w:ascii="Arial" w:hAnsi="Arial" w:cs="Arial"/>
          <w:b/>
          <w:sz w:val="20"/>
          <w:szCs w:val="20"/>
        </w:rPr>
      </w:pPr>
    </w:p>
    <w:p w:rsidR="00C2188A" w:rsidRPr="000A615A" w:rsidRDefault="00C2188A" w:rsidP="00C2188A">
      <w:pPr>
        <w:spacing w:after="0" w:line="240" w:lineRule="auto"/>
        <w:jc w:val="center"/>
        <w:rPr>
          <w:rFonts w:ascii="Arial" w:hAnsi="Arial" w:cs="Arial"/>
          <w:b/>
          <w:sz w:val="20"/>
          <w:szCs w:val="20"/>
        </w:rPr>
      </w:pPr>
    </w:p>
    <w:p w:rsidR="00C2188A" w:rsidRPr="000A615A" w:rsidRDefault="00C13DA9" w:rsidP="00C2188A">
      <w:pPr>
        <w:spacing w:after="0" w:line="240" w:lineRule="auto"/>
        <w:jc w:val="center"/>
        <w:rPr>
          <w:rFonts w:ascii="Arial" w:hAnsi="Arial" w:cs="Arial"/>
          <w:b/>
          <w:sz w:val="20"/>
          <w:szCs w:val="20"/>
        </w:rPr>
      </w:pPr>
      <w:r>
        <w:rPr>
          <w:rFonts w:ascii="Arial" w:hAnsi="Arial" w:cs="Arial"/>
          <w:b/>
          <w:sz w:val="20"/>
          <w:szCs w:val="20"/>
        </w:rPr>
        <w:t>Overnight Tourism Data for</w:t>
      </w:r>
      <w:r w:rsidR="00C2188A" w:rsidRPr="000A615A">
        <w:rPr>
          <w:rFonts w:ascii="Arial" w:hAnsi="Arial" w:cs="Arial"/>
          <w:b/>
          <w:sz w:val="20"/>
          <w:szCs w:val="20"/>
        </w:rPr>
        <w:t xml:space="preserve"> </w:t>
      </w:r>
      <w:r w:rsidR="00A817A8">
        <w:rPr>
          <w:rFonts w:ascii="Arial" w:hAnsi="Arial" w:cs="Arial"/>
          <w:b/>
          <w:sz w:val="20"/>
          <w:szCs w:val="20"/>
        </w:rPr>
        <w:t>Local Authorities,</w:t>
      </w:r>
      <w:r w:rsidR="00C2188A" w:rsidRPr="000A615A">
        <w:rPr>
          <w:rFonts w:ascii="Arial" w:hAnsi="Arial" w:cs="Arial"/>
          <w:b/>
          <w:sz w:val="20"/>
          <w:szCs w:val="20"/>
        </w:rPr>
        <w:t xml:space="preserve"> Counties</w:t>
      </w:r>
      <w:r w:rsidR="00A817A8">
        <w:rPr>
          <w:rFonts w:ascii="Arial" w:hAnsi="Arial" w:cs="Arial"/>
          <w:b/>
          <w:sz w:val="20"/>
          <w:szCs w:val="20"/>
        </w:rPr>
        <w:t xml:space="preserve"> and Local Enterprise Partnerships (LEPs</w:t>
      </w:r>
      <w:proofErr w:type="gramStart"/>
      <w:r w:rsidR="00A817A8">
        <w:rPr>
          <w:rFonts w:ascii="Arial" w:hAnsi="Arial" w:cs="Arial"/>
          <w:b/>
          <w:sz w:val="20"/>
          <w:szCs w:val="20"/>
        </w:rPr>
        <w:t>)</w:t>
      </w:r>
      <w:proofErr w:type="gramEnd"/>
      <w:r w:rsidR="00C2188A" w:rsidRPr="000A615A">
        <w:rPr>
          <w:rFonts w:ascii="Arial" w:hAnsi="Arial" w:cs="Arial"/>
          <w:b/>
          <w:sz w:val="20"/>
          <w:szCs w:val="20"/>
        </w:rPr>
        <w:br/>
        <w:t>Analysis of GB</w:t>
      </w:r>
      <w:r>
        <w:rPr>
          <w:rFonts w:ascii="Arial" w:hAnsi="Arial" w:cs="Arial"/>
          <w:b/>
          <w:sz w:val="20"/>
          <w:szCs w:val="20"/>
        </w:rPr>
        <w:t xml:space="preserve"> Tourism Survey Data 2006 - 2016</w:t>
      </w:r>
    </w:p>
    <w:p w:rsidR="00C2188A" w:rsidRDefault="00C2188A"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Background</w:t>
      </w:r>
    </w:p>
    <w:p w:rsidR="00C2188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The UK (now GB) Tourism Survey was originally designed to provide accurate data about the volume and value of domestic overnight tourism for the country as a whole and for its constituent nations. With a contact sample of 100,000 respondents annually, generating information about some 18,000 trips taken in Great Britain, the survey provides extremely robust annual data at the national level, and even at regional level, annual results are generally based on 1000 – 2000 actual trips, allowing us a high degree of confidence in the accuracy of the data.</w:t>
      </w:r>
    </w:p>
    <w:p w:rsidR="00580881" w:rsidRPr="000A615A" w:rsidRDefault="00580881"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Increasingly however, there is a demand for information below the regional level, with a requirement to understand the importance of tourism for towns, local authorities and counties. The problem with this is that while it is possible to analyse the GBTS survey at this level (and we have done so for the top 20 most visited towns in England), the underlying base sizes can become very low for the smaller towns and authorities.</w:t>
      </w:r>
    </w:p>
    <w:p w:rsidR="00C2188A" w:rsidRDefault="00C2188A"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 xml:space="preserve">Local Authorities, Counties </w:t>
      </w:r>
      <w:r w:rsidR="00C13DA9">
        <w:rPr>
          <w:rFonts w:ascii="Arial" w:hAnsi="Arial" w:cs="Arial"/>
          <w:b/>
          <w:sz w:val="20"/>
          <w:szCs w:val="20"/>
        </w:rPr>
        <w:t xml:space="preserve">and Local Enterprise Partnerships (LEPs) Analysis </w:t>
      </w:r>
      <w:r w:rsidRPr="000A615A">
        <w:rPr>
          <w:rFonts w:ascii="Arial" w:hAnsi="Arial" w:cs="Arial"/>
          <w:b/>
          <w:sz w:val="20"/>
          <w:szCs w:val="20"/>
        </w:rPr>
        <w:t>(</w:t>
      </w:r>
      <w:r w:rsidR="00A817A8">
        <w:rPr>
          <w:rFonts w:ascii="Arial" w:hAnsi="Arial" w:cs="Arial"/>
          <w:b/>
          <w:sz w:val="20"/>
          <w:szCs w:val="20"/>
        </w:rPr>
        <w:t>T</w:t>
      </w:r>
      <w:r w:rsidR="00C13DA9">
        <w:rPr>
          <w:rFonts w:ascii="Arial" w:hAnsi="Arial" w:cs="Arial"/>
          <w:b/>
          <w:sz w:val="20"/>
          <w:szCs w:val="20"/>
        </w:rPr>
        <w:t>owns data not currently available)</w:t>
      </w:r>
    </w:p>
    <w:p w:rsidR="00C2188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 xml:space="preserve">In order to respond to the demand for greater geographical aggregation - while taking into account the sample size issues we face - we have developed an analysis of our domestic overnight tourism data. Rather than considering individual years, this considers three year averages (summing the results for a three year period together and dividing by three to establish the average annual visitor volume / value for that period). </w:t>
      </w:r>
    </w:p>
    <w:p w:rsidR="00C2188A" w:rsidRPr="000A615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 xml:space="preserve">Data is provided for the </w:t>
      </w:r>
      <w:r w:rsidR="00F97A06">
        <w:rPr>
          <w:rFonts w:ascii="Arial" w:hAnsi="Arial" w:cs="Arial"/>
          <w:sz w:val="20"/>
          <w:szCs w:val="20"/>
        </w:rPr>
        <w:t>nine</w:t>
      </w:r>
      <w:r w:rsidRPr="000A615A">
        <w:rPr>
          <w:rFonts w:ascii="Arial" w:hAnsi="Arial" w:cs="Arial"/>
          <w:sz w:val="20"/>
          <w:szCs w:val="20"/>
        </w:rPr>
        <w:t xml:space="preserve"> periods 2006 – 2008, 2007 – 2009, 2008 – 2010, 2009 – 2011, 2010 – 2012, 2011 -2013</w:t>
      </w:r>
      <w:r w:rsidR="00580881">
        <w:rPr>
          <w:rFonts w:ascii="Arial" w:hAnsi="Arial" w:cs="Arial"/>
          <w:sz w:val="20"/>
          <w:szCs w:val="20"/>
        </w:rPr>
        <w:t>,</w:t>
      </w:r>
      <w:r w:rsidR="007E4531">
        <w:rPr>
          <w:rFonts w:ascii="Arial" w:hAnsi="Arial" w:cs="Arial"/>
          <w:sz w:val="20"/>
          <w:szCs w:val="20"/>
        </w:rPr>
        <w:t xml:space="preserve"> 2012 -2014,</w:t>
      </w:r>
      <w:r w:rsidR="00580881">
        <w:rPr>
          <w:rFonts w:ascii="Arial" w:hAnsi="Arial" w:cs="Arial"/>
          <w:sz w:val="20"/>
          <w:szCs w:val="20"/>
        </w:rPr>
        <w:t xml:space="preserve"> 2013 – 2015</w:t>
      </w:r>
      <w:r w:rsidR="007E4531">
        <w:rPr>
          <w:rFonts w:ascii="Arial" w:hAnsi="Arial" w:cs="Arial"/>
          <w:sz w:val="20"/>
          <w:szCs w:val="20"/>
        </w:rPr>
        <w:t>, and 2014-2016*</w:t>
      </w:r>
      <w:r w:rsidR="00580881">
        <w:rPr>
          <w:rFonts w:ascii="Arial" w:hAnsi="Arial" w:cs="Arial"/>
          <w:sz w:val="20"/>
          <w:szCs w:val="20"/>
        </w:rPr>
        <w:t>. F</w:t>
      </w:r>
      <w:r w:rsidRPr="000A615A">
        <w:rPr>
          <w:rFonts w:ascii="Arial" w:hAnsi="Arial" w:cs="Arial"/>
          <w:sz w:val="20"/>
          <w:szCs w:val="20"/>
        </w:rPr>
        <w:t>igures are shown for total overnight tourism (considering all trip purposes – holiday, business and visiting friends and relatives) and separately for holiday travel. This will be updated each year as new data becomes available.</w:t>
      </w:r>
    </w:p>
    <w:p w:rsidR="00C2188A" w:rsidRPr="000A615A" w:rsidRDefault="00C2188A" w:rsidP="00C2188A">
      <w:pPr>
        <w:spacing w:after="0" w:line="240" w:lineRule="auto"/>
        <w:rPr>
          <w:rFonts w:ascii="Arial" w:hAnsi="Arial" w:cs="Arial"/>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Results are prov</w:t>
      </w:r>
      <w:r w:rsidR="007E4531">
        <w:rPr>
          <w:rFonts w:ascii="Arial" w:hAnsi="Arial" w:cs="Arial"/>
          <w:sz w:val="20"/>
          <w:szCs w:val="20"/>
        </w:rPr>
        <w:t xml:space="preserve">ided for local authorities, </w:t>
      </w:r>
      <w:r w:rsidRPr="000A615A">
        <w:rPr>
          <w:rFonts w:ascii="Arial" w:hAnsi="Arial" w:cs="Arial"/>
          <w:sz w:val="20"/>
          <w:szCs w:val="20"/>
        </w:rPr>
        <w:t xml:space="preserve">counties and Local </w:t>
      </w:r>
      <w:r w:rsidR="007E4531">
        <w:rPr>
          <w:rFonts w:ascii="Arial" w:hAnsi="Arial" w:cs="Arial"/>
          <w:sz w:val="20"/>
          <w:szCs w:val="20"/>
        </w:rPr>
        <w:t xml:space="preserve">Enterprise Partnerships (LEP’s). </w:t>
      </w:r>
      <w:proofErr w:type="gramStart"/>
      <w:r w:rsidR="007E4531">
        <w:rPr>
          <w:rFonts w:ascii="Arial" w:hAnsi="Arial" w:cs="Arial"/>
          <w:sz w:val="20"/>
          <w:szCs w:val="20"/>
        </w:rPr>
        <w:t>Towns</w:t>
      </w:r>
      <w:proofErr w:type="gramEnd"/>
      <w:r w:rsidR="007E4531">
        <w:rPr>
          <w:rFonts w:ascii="Arial" w:hAnsi="Arial" w:cs="Arial"/>
          <w:sz w:val="20"/>
          <w:szCs w:val="20"/>
        </w:rPr>
        <w:t xml:space="preserve"> data is currently unavailable but will be published as soon as it is available. </w:t>
      </w:r>
    </w:p>
    <w:p w:rsidR="00F97A06" w:rsidRPr="000A615A" w:rsidRDefault="00F97A06"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This analysis is published as several different excel spreadsheets on our website, here:  </w:t>
      </w:r>
    </w:p>
    <w:p w:rsidR="00C2188A" w:rsidRPr="00580881" w:rsidRDefault="00C2188A" w:rsidP="00C2188A">
      <w:pPr>
        <w:spacing w:after="0" w:line="240" w:lineRule="auto"/>
        <w:rPr>
          <w:rFonts w:ascii="Arial" w:hAnsi="Arial" w:cs="Arial"/>
          <w:sz w:val="20"/>
          <w:szCs w:val="20"/>
        </w:rPr>
      </w:pPr>
    </w:p>
    <w:p w:rsidR="00C2188A" w:rsidRPr="00580881" w:rsidRDefault="00DE7A20" w:rsidP="00C2188A">
      <w:pPr>
        <w:spacing w:after="0" w:line="240" w:lineRule="auto"/>
        <w:rPr>
          <w:rFonts w:ascii="Arial" w:hAnsi="Arial" w:cs="Arial"/>
          <w:sz w:val="20"/>
          <w:szCs w:val="20"/>
        </w:rPr>
      </w:pPr>
      <w:hyperlink r:id="rId8" w:history="1">
        <w:r w:rsidR="00580881" w:rsidRPr="00580881">
          <w:rPr>
            <w:rStyle w:val="Hyperlink"/>
            <w:rFonts w:ascii="Arial" w:hAnsi="Arial" w:cs="Arial"/>
            <w:sz w:val="20"/>
            <w:szCs w:val="20"/>
          </w:rPr>
          <w:t>https://www.visitbritain.org/destination-analysis</w:t>
        </w:r>
      </w:hyperlink>
      <w:r w:rsidR="00580881" w:rsidRPr="00580881">
        <w:rPr>
          <w:rFonts w:ascii="Arial" w:hAnsi="Arial" w:cs="Arial"/>
          <w:sz w:val="20"/>
          <w:szCs w:val="20"/>
        </w:rPr>
        <w:t xml:space="preserve"> </w:t>
      </w:r>
    </w:p>
    <w:p w:rsidR="00580881" w:rsidRDefault="00580881" w:rsidP="00C2188A">
      <w:pPr>
        <w:spacing w:after="0" w:line="240" w:lineRule="auto"/>
        <w:rPr>
          <w:rFonts w:ascii="Arial" w:hAnsi="Arial" w:cs="Arial"/>
          <w:b/>
          <w:sz w:val="20"/>
          <w:szCs w:val="20"/>
        </w:rPr>
      </w:pPr>
    </w:p>
    <w:p w:rsidR="00DE7A20" w:rsidRDefault="00DE7A20" w:rsidP="00DE7A20">
      <w:pPr>
        <w:spacing w:after="0" w:line="240" w:lineRule="auto"/>
        <w:rPr>
          <w:rFonts w:ascii="Arial" w:hAnsi="Arial" w:cs="Arial"/>
          <w:b/>
          <w:sz w:val="20"/>
          <w:szCs w:val="20"/>
        </w:rPr>
      </w:pPr>
      <w:r>
        <w:rPr>
          <w:rFonts w:ascii="Arial" w:hAnsi="Arial" w:cs="Arial"/>
          <w:b/>
          <w:sz w:val="20"/>
          <w:szCs w:val="20"/>
        </w:rPr>
        <w:t>*2016 Data</w:t>
      </w:r>
    </w:p>
    <w:p w:rsidR="00DE7A20" w:rsidRPr="00DE7A20" w:rsidRDefault="00DE7A20" w:rsidP="00C2188A">
      <w:pPr>
        <w:spacing w:after="0" w:line="240" w:lineRule="auto"/>
        <w:rPr>
          <w:rFonts w:ascii="Arial" w:hAnsi="Arial" w:cs="Arial"/>
          <w:sz w:val="20"/>
          <w:szCs w:val="20"/>
        </w:rPr>
      </w:pPr>
      <w:r w:rsidRPr="00DE7A20">
        <w:rPr>
          <w:rFonts w:ascii="Arial" w:hAnsi="Arial" w:cs="Arial"/>
          <w:sz w:val="20"/>
          <w:szCs w:val="20"/>
        </w:rPr>
        <w:t>Due to changes in the data processing approach, the 2016 data is not directly comparable to previous data. For full details please see: https://www.visitbritain.org/gb-tourism-survey-2016-overview</w:t>
      </w: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DE7A20" w:rsidRDefault="00DE7A20"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How Robust Is the Data?</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Even using three year averages, base sizes remain low for many of the individual towns and local authorities. The analysis includes a user guide, which explains how to estimate the underlying base size based on the number of reported trips – and also provides a guide to margins of error for different base sizes.</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Our recommendation is that when interpreting this data, users should refer both to the margins of error, and also to the degree of variation in the five year period to come to a “common sense” view of what the figures mean.</w:t>
      </w:r>
    </w:p>
    <w:p w:rsidR="00580881" w:rsidRDefault="00580881"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lastRenderedPageBreak/>
        <w:t>For Example</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color w:val="FF0000"/>
          <w:sz w:val="20"/>
          <w:szCs w:val="20"/>
        </w:rPr>
      </w:pPr>
      <w:r w:rsidRPr="000A615A">
        <w:rPr>
          <w:rFonts w:ascii="Arial" w:hAnsi="Arial" w:cs="Arial"/>
          <w:sz w:val="20"/>
          <w:szCs w:val="20"/>
        </w:rPr>
        <w:t>Table 1, below, is an excerpt from the analysis, which shows that the average annual visitor numbers for Coventry over the past five years are in the range 518,000 to 5</w:t>
      </w:r>
      <w:r w:rsidR="0051275C">
        <w:rPr>
          <w:rFonts w:ascii="Arial" w:hAnsi="Arial" w:cs="Arial"/>
          <w:sz w:val="20"/>
          <w:szCs w:val="20"/>
        </w:rPr>
        <w:t>85</w:t>
      </w:r>
      <w:r w:rsidRPr="000A615A">
        <w:rPr>
          <w:rFonts w:ascii="Arial" w:hAnsi="Arial" w:cs="Arial"/>
          <w:sz w:val="20"/>
          <w:szCs w:val="20"/>
        </w:rPr>
        <w:t>,000. The margin of error on these results is around +/-15%, which means that statistically, we can be 95% confident that the true value for these results is between 4</w:t>
      </w:r>
      <w:r w:rsidR="0051275C">
        <w:rPr>
          <w:rFonts w:ascii="Arial" w:hAnsi="Arial" w:cs="Arial"/>
          <w:sz w:val="20"/>
          <w:szCs w:val="20"/>
        </w:rPr>
        <w:t>97</w:t>
      </w:r>
      <w:r w:rsidRPr="000A615A">
        <w:rPr>
          <w:rFonts w:ascii="Arial" w:hAnsi="Arial" w:cs="Arial"/>
          <w:sz w:val="20"/>
          <w:szCs w:val="20"/>
        </w:rPr>
        <w:t>,000 and 6</w:t>
      </w:r>
      <w:r w:rsidR="0051275C">
        <w:rPr>
          <w:rFonts w:ascii="Arial" w:hAnsi="Arial" w:cs="Arial"/>
          <w:sz w:val="20"/>
          <w:szCs w:val="20"/>
        </w:rPr>
        <w:t>73,0</w:t>
      </w:r>
      <w:r w:rsidRPr="000A615A">
        <w:rPr>
          <w:rFonts w:ascii="Arial" w:hAnsi="Arial" w:cs="Arial"/>
          <w:sz w:val="20"/>
          <w:szCs w:val="20"/>
        </w:rPr>
        <w:t xml:space="preserve">00. </w:t>
      </w:r>
    </w:p>
    <w:p w:rsidR="00C2188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However, the general consistency of the figures over the </w:t>
      </w:r>
      <w:r w:rsidR="0051275C">
        <w:rPr>
          <w:rFonts w:ascii="Arial" w:hAnsi="Arial" w:cs="Arial"/>
          <w:sz w:val="20"/>
          <w:szCs w:val="20"/>
        </w:rPr>
        <w:t>nine</w:t>
      </w:r>
      <w:r w:rsidRPr="000A615A">
        <w:rPr>
          <w:rFonts w:ascii="Arial" w:hAnsi="Arial" w:cs="Arial"/>
          <w:sz w:val="20"/>
          <w:szCs w:val="20"/>
        </w:rPr>
        <w:t xml:space="preserve"> year period suggests that a “common sense” view might be that the true value really is likely to be in the region of 520,000 – 590,000, but that it is not possible to identify any clear trend over th</w:t>
      </w:r>
      <w:r w:rsidR="0051275C">
        <w:rPr>
          <w:rFonts w:ascii="Arial" w:hAnsi="Arial" w:cs="Arial"/>
          <w:sz w:val="20"/>
          <w:szCs w:val="20"/>
        </w:rPr>
        <w:t xml:space="preserve">is </w:t>
      </w:r>
      <w:r w:rsidRPr="000A615A">
        <w:rPr>
          <w:rFonts w:ascii="Arial" w:hAnsi="Arial" w:cs="Arial"/>
          <w:sz w:val="20"/>
          <w:szCs w:val="20"/>
        </w:rPr>
        <w:t>period.</w:t>
      </w:r>
    </w:p>
    <w:p w:rsidR="00C2188A" w:rsidRDefault="00C2188A" w:rsidP="00C2188A">
      <w:pPr>
        <w:spacing w:after="0" w:line="240" w:lineRule="auto"/>
        <w:rPr>
          <w:rFonts w:ascii="Arial" w:hAnsi="Arial" w:cs="Arial"/>
          <w:b/>
          <w:sz w:val="20"/>
          <w:szCs w:val="20"/>
        </w:rPr>
      </w:pPr>
    </w:p>
    <w:p w:rsidR="00C2188A" w:rsidRDefault="00C2188A" w:rsidP="00C2188A">
      <w:pPr>
        <w:spacing w:after="0" w:line="240" w:lineRule="auto"/>
        <w:rPr>
          <w:rFonts w:ascii="Arial" w:hAnsi="Arial" w:cs="Arial"/>
          <w:b/>
          <w:sz w:val="20"/>
          <w:szCs w:val="20"/>
        </w:rPr>
      </w:pPr>
      <w:r w:rsidRPr="000A615A">
        <w:rPr>
          <w:rFonts w:ascii="Arial" w:hAnsi="Arial" w:cs="Arial"/>
          <w:b/>
          <w:sz w:val="20"/>
          <w:szCs w:val="20"/>
        </w:rPr>
        <w:t>Table 1</w:t>
      </w:r>
    </w:p>
    <w:p w:rsidR="00C2188A" w:rsidRPr="000A615A" w:rsidRDefault="00C2188A" w:rsidP="00C2188A">
      <w:pPr>
        <w:spacing w:after="0" w:line="240" w:lineRule="auto"/>
        <w:rPr>
          <w:rFonts w:ascii="Arial" w:hAnsi="Arial" w:cs="Arial"/>
          <w:b/>
          <w:sz w:val="20"/>
          <w:szCs w:val="20"/>
        </w:rPr>
      </w:pPr>
    </w:p>
    <w:tbl>
      <w:tblPr>
        <w:tblW w:w="10436" w:type="dxa"/>
        <w:tblInd w:w="-1501" w:type="dxa"/>
        <w:tblLook w:val="04A0" w:firstRow="1" w:lastRow="0" w:firstColumn="1" w:lastColumn="0" w:noHBand="0" w:noVBand="1"/>
      </w:tblPr>
      <w:tblGrid>
        <w:gridCol w:w="1283"/>
        <w:gridCol w:w="1180"/>
        <w:gridCol w:w="1139"/>
        <w:gridCol w:w="1139"/>
        <w:gridCol w:w="1139"/>
        <w:gridCol w:w="1139"/>
        <w:gridCol w:w="1139"/>
        <w:gridCol w:w="1139"/>
        <w:gridCol w:w="1139"/>
      </w:tblGrid>
      <w:tr w:rsidR="0051275C" w:rsidRPr="000A615A" w:rsidTr="002D132A">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rsid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 xml:space="preserve">Total </w:t>
            </w:r>
          </w:p>
        </w:tc>
      </w:tr>
      <w:tr w:rsidR="0051275C" w:rsidRPr="000A615A"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Trips</w:t>
            </w:r>
          </w:p>
        </w:tc>
      </w:tr>
      <w:tr w:rsidR="0051275C" w:rsidRPr="000A615A"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2006-8</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2007-9</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2008-10</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2009-11</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2010-12</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2011-13</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2012-14</w:t>
            </w:r>
          </w:p>
        </w:tc>
        <w:tc>
          <w:tcPr>
            <w:tcW w:w="1139"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2013-15</w:t>
            </w:r>
          </w:p>
        </w:tc>
      </w:tr>
      <w:tr w:rsidR="0051275C" w:rsidRPr="000A615A"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thousands</w:t>
            </w:r>
          </w:p>
        </w:tc>
      </w:tr>
      <w:tr w:rsidR="0051275C" w:rsidRPr="000A615A" w:rsidTr="002D132A">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color w:val="FF0000"/>
                <w:sz w:val="20"/>
                <w:szCs w:val="20"/>
                <w:lang w:eastAsia="en-GB"/>
              </w:rPr>
            </w:pPr>
            <w:r w:rsidRPr="000A615A">
              <w:rPr>
                <w:rFonts w:ascii="Arial" w:eastAsia="Times New Roman" w:hAnsi="Arial" w:cs="Arial"/>
                <w:i/>
                <w:iCs/>
                <w:sz w:val="20"/>
                <w:szCs w:val="20"/>
                <w:lang w:eastAsia="en-GB"/>
              </w:rPr>
              <w:t>England</w:t>
            </w:r>
          </w:p>
        </w:tc>
        <w:tc>
          <w:tcPr>
            <w:tcW w:w="1180"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98265</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98724</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97516</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100682</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101418</w:t>
            </w:r>
          </w:p>
        </w:tc>
        <w:tc>
          <w:tcPr>
            <w:tcW w:w="1139"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103500</w:t>
            </w:r>
          </w:p>
        </w:tc>
        <w:tc>
          <w:tcPr>
            <w:tcW w:w="1139"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br/>
              <w:t>99607</w:t>
            </w:r>
          </w:p>
        </w:tc>
        <w:tc>
          <w:tcPr>
            <w:tcW w:w="1139" w:type="dxa"/>
            <w:tcBorders>
              <w:top w:val="nil"/>
              <w:left w:val="nil"/>
              <w:bottom w:val="single" w:sz="4" w:space="0" w:color="auto"/>
              <w:right w:val="single" w:sz="4" w:space="0" w:color="auto"/>
            </w:tcBorders>
            <w:vAlign w:val="bottom"/>
          </w:tcPr>
          <w:p w:rsidR="0051275C" w:rsidRDefault="0051275C" w:rsidP="0051275C">
            <w:pPr>
              <w:spacing w:after="0" w:line="240" w:lineRule="auto"/>
              <w:jc w:val="center"/>
              <w:rPr>
                <w:rFonts w:ascii="Arial" w:hAnsi="Arial" w:cs="Arial"/>
                <w:i/>
                <w:iCs/>
                <w:sz w:val="20"/>
                <w:szCs w:val="20"/>
              </w:rPr>
            </w:pPr>
            <w:r w:rsidRPr="0051275C">
              <w:rPr>
                <w:rFonts w:ascii="Arial" w:eastAsia="Times New Roman" w:hAnsi="Arial" w:cs="Arial"/>
                <w:i/>
                <w:iCs/>
                <w:sz w:val="20"/>
                <w:szCs w:val="20"/>
                <w:lang w:eastAsia="en-GB"/>
              </w:rPr>
              <w:t>99028</w:t>
            </w:r>
          </w:p>
        </w:tc>
      </w:tr>
      <w:tr w:rsidR="0051275C" w:rsidRPr="000A615A" w:rsidTr="002D132A">
        <w:trPr>
          <w:trHeight w:val="34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p>
        </w:tc>
        <w:tc>
          <w:tcPr>
            <w:tcW w:w="1139"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color w:val="FF0000"/>
                <w:sz w:val="20"/>
                <w:szCs w:val="20"/>
                <w:lang w:eastAsia="en-GB"/>
              </w:rPr>
            </w:pPr>
          </w:p>
        </w:tc>
        <w:tc>
          <w:tcPr>
            <w:tcW w:w="1139" w:type="dxa"/>
            <w:tcBorders>
              <w:top w:val="nil"/>
              <w:left w:val="nil"/>
              <w:bottom w:val="single" w:sz="4" w:space="0" w:color="auto"/>
              <w:right w:val="single" w:sz="4" w:space="0" w:color="auto"/>
            </w:tcBorders>
            <w:vAlign w:val="bottom"/>
          </w:tcPr>
          <w:p w:rsidR="0051275C" w:rsidRDefault="0051275C" w:rsidP="0051275C">
            <w:pPr>
              <w:jc w:val="center"/>
              <w:rPr>
                <w:rFonts w:ascii="Arial" w:hAnsi="Arial" w:cs="Arial"/>
                <w:color w:val="FF0000"/>
                <w:sz w:val="20"/>
                <w:szCs w:val="20"/>
              </w:rPr>
            </w:pPr>
            <w:r>
              <w:rPr>
                <w:rFonts w:ascii="Arial" w:hAnsi="Arial" w:cs="Arial"/>
                <w:color w:val="FF0000"/>
                <w:sz w:val="20"/>
                <w:szCs w:val="20"/>
              </w:rPr>
              <w:t> </w:t>
            </w:r>
          </w:p>
        </w:tc>
      </w:tr>
      <w:tr w:rsidR="0051275C" w:rsidRPr="000A615A" w:rsidTr="002D132A">
        <w:trPr>
          <w:trHeight w:val="315"/>
        </w:trPr>
        <w:tc>
          <w:tcPr>
            <w:tcW w:w="1283" w:type="dxa"/>
            <w:tcBorders>
              <w:top w:val="nil"/>
              <w:left w:val="single" w:sz="4" w:space="0" w:color="auto"/>
              <w:bottom w:val="nil"/>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Birmingham</w:t>
            </w:r>
          </w:p>
        </w:tc>
        <w:tc>
          <w:tcPr>
            <w:tcW w:w="1180"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2279</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2314</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2241</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2205</w:t>
            </w:r>
          </w:p>
        </w:tc>
        <w:tc>
          <w:tcPr>
            <w:tcW w:w="1139" w:type="dxa"/>
            <w:tcBorders>
              <w:top w:val="nil"/>
              <w:left w:val="nil"/>
              <w:bottom w:val="nil"/>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2279</w:t>
            </w:r>
          </w:p>
        </w:tc>
        <w:tc>
          <w:tcPr>
            <w:tcW w:w="1139" w:type="dxa"/>
            <w:tcBorders>
              <w:top w:val="nil"/>
              <w:left w:val="nil"/>
              <w:bottom w:val="nil"/>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2349</w:t>
            </w:r>
          </w:p>
        </w:tc>
        <w:tc>
          <w:tcPr>
            <w:tcW w:w="1139" w:type="dxa"/>
            <w:tcBorders>
              <w:top w:val="nil"/>
              <w:left w:val="nil"/>
              <w:bottom w:val="nil"/>
              <w:right w:val="single" w:sz="4" w:space="0" w:color="auto"/>
            </w:tcBorders>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br/>
              <w:t>2317</w:t>
            </w:r>
          </w:p>
        </w:tc>
        <w:tc>
          <w:tcPr>
            <w:tcW w:w="1139" w:type="dxa"/>
            <w:tcBorders>
              <w:top w:val="nil"/>
              <w:left w:val="nil"/>
              <w:bottom w:val="nil"/>
              <w:right w:val="single" w:sz="4" w:space="0" w:color="auto"/>
            </w:tcBorders>
            <w:vAlign w:val="bottom"/>
          </w:tcPr>
          <w:p w:rsidR="0051275C" w:rsidRDefault="0051275C" w:rsidP="0051275C">
            <w:pPr>
              <w:spacing w:after="0" w:line="240" w:lineRule="auto"/>
              <w:jc w:val="center"/>
              <w:rPr>
                <w:rFonts w:ascii="Arial" w:hAnsi="Arial" w:cs="Arial"/>
                <w:sz w:val="20"/>
                <w:szCs w:val="20"/>
              </w:rPr>
            </w:pPr>
            <w:r w:rsidRPr="0051275C">
              <w:rPr>
                <w:rFonts w:ascii="Arial" w:eastAsia="Times New Roman" w:hAnsi="Arial" w:cs="Arial"/>
                <w:sz w:val="20"/>
                <w:szCs w:val="20"/>
                <w:lang w:eastAsia="en-GB"/>
              </w:rPr>
              <w:t>2306</w:t>
            </w:r>
          </w:p>
        </w:tc>
      </w:tr>
      <w:tr w:rsidR="0051275C" w:rsidRPr="000A615A" w:rsidTr="002D132A">
        <w:trPr>
          <w:trHeight w:val="330"/>
        </w:trPr>
        <w:tc>
          <w:tcPr>
            <w:tcW w:w="1283" w:type="dxa"/>
            <w:tcBorders>
              <w:top w:val="single" w:sz="12" w:space="0" w:color="FF0000"/>
              <w:left w:val="single" w:sz="12" w:space="0" w:color="FF0000"/>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Coventry</w:t>
            </w:r>
          </w:p>
        </w:tc>
        <w:tc>
          <w:tcPr>
            <w:tcW w:w="1180"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544</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518</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528</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563</w:t>
            </w:r>
          </w:p>
        </w:tc>
        <w:tc>
          <w:tcPr>
            <w:tcW w:w="1139" w:type="dxa"/>
            <w:tcBorders>
              <w:top w:val="single" w:sz="12" w:space="0" w:color="FF0000"/>
              <w:left w:val="nil"/>
              <w:bottom w:val="single" w:sz="12" w:space="0" w:color="FF0000"/>
              <w:right w:val="single" w:sz="12" w:space="0" w:color="FF0000"/>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531</w:t>
            </w:r>
          </w:p>
        </w:tc>
        <w:tc>
          <w:tcPr>
            <w:tcW w:w="1139" w:type="dxa"/>
            <w:tcBorders>
              <w:top w:val="single" w:sz="12" w:space="0" w:color="FF0000"/>
              <w:left w:val="nil"/>
              <w:bottom w:val="single" w:sz="12" w:space="0" w:color="FF0000"/>
              <w:right w:val="single" w:sz="12" w:space="0" w:color="FF0000"/>
            </w:tcBorders>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p>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590</w:t>
            </w:r>
          </w:p>
        </w:tc>
        <w:tc>
          <w:tcPr>
            <w:tcW w:w="1139" w:type="dxa"/>
            <w:tcBorders>
              <w:top w:val="single" w:sz="12" w:space="0" w:color="FF0000"/>
              <w:left w:val="nil"/>
              <w:bottom w:val="single" w:sz="12" w:space="0" w:color="FF0000"/>
              <w:right w:val="single" w:sz="12" w:space="0" w:color="FF0000"/>
            </w:tcBorders>
          </w:tcPr>
          <w:p w:rsidR="0051275C" w:rsidRPr="000A615A" w:rsidRDefault="0051275C" w:rsidP="0051275C">
            <w:pPr>
              <w:spacing w:after="0" w:line="240" w:lineRule="auto"/>
              <w:jc w:val="center"/>
              <w:rPr>
                <w:rFonts w:ascii="Arial" w:eastAsia="Times New Roman" w:hAnsi="Arial" w:cs="Arial"/>
                <w:sz w:val="20"/>
                <w:szCs w:val="20"/>
                <w:lang w:eastAsia="en-GB"/>
              </w:rPr>
            </w:pPr>
          </w:p>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528</w:t>
            </w:r>
          </w:p>
        </w:tc>
        <w:tc>
          <w:tcPr>
            <w:tcW w:w="1139" w:type="dxa"/>
            <w:tcBorders>
              <w:top w:val="single" w:sz="12" w:space="0" w:color="FF0000"/>
              <w:left w:val="nil"/>
              <w:bottom w:val="single" w:sz="12" w:space="0" w:color="FF0000"/>
              <w:right w:val="single" w:sz="12" w:space="0" w:color="FF0000"/>
            </w:tcBorders>
            <w:vAlign w:val="bottom"/>
          </w:tcPr>
          <w:p w:rsidR="0051275C" w:rsidRDefault="0051275C" w:rsidP="0051275C">
            <w:pPr>
              <w:spacing w:after="0" w:line="240" w:lineRule="auto"/>
              <w:jc w:val="center"/>
              <w:rPr>
                <w:rFonts w:ascii="Arial" w:hAnsi="Arial" w:cs="Arial"/>
                <w:color w:val="000000"/>
                <w:sz w:val="20"/>
                <w:szCs w:val="20"/>
              </w:rPr>
            </w:pPr>
            <w:r w:rsidRPr="0051275C">
              <w:rPr>
                <w:rFonts w:ascii="Arial" w:eastAsia="Times New Roman" w:hAnsi="Arial" w:cs="Arial"/>
                <w:sz w:val="20"/>
                <w:szCs w:val="20"/>
                <w:lang w:eastAsia="en-GB"/>
              </w:rPr>
              <w:t>585</w:t>
            </w:r>
          </w:p>
        </w:tc>
      </w:tr>
    </w:tbl>
    <w:p w:rsidR="00C2188A" w:rsidRDefault="00C2188A" w:rsidP="00C2188A">
      <w:pPr>
        <w:spacing w:after="0" w:line="240" w:lineRule="auto"/>
        <w:rPr>
          <w:rFonts w:ascii="Arial" w:hAnsi="Arial" w:cs="Arial"/>
          <w:sz w:val="20"/>
          <w:szCs w:val="20"/>
        </w:rPr>
      </w:pPr>
    </w:p>
    <w:p w:rsidR="00DE7A20" w:rsidRDefault="0051275C" w:rsidP="0051275C">
      <w:pPr>
        <w:spacing w:after="0" w:line="240" w:lineRule="auto"/>
        <w:rPr>
          <w:rFonts w:ascii="Arial" w:hAnsi="Arial" w:cs="Arial"/>
          <w:sz w:val="20"/>
          <w:szCs w:val="20"/>
        </w:rPr>
      </w:pPr>
      <w:r w:rsidRPr="000A615A">
        <w:rPr>
          <w:rFonts w:ascii="Arial" w:hAnsi="Arial" w:cs="Arial"/>
          <w:sz w:val="20"/>
          <w:szCs w:val="20"/>
        </w:rPr>
        <w:t>The same approach can be taken when looking at the position of individual local authorities relative to others. Based on Table 2, we can say with some certainty that Coventry has fewer visitors than local authorities like Cornwall or Manchester, and more than places such as Doncaster or Peterborough. However, from these results, we cannot be certain that in the period 201</w:t>
      </w:r>
      <w:r w:rsidR="0009079C">
        <w:rPr>
          <w:rFonts w:ascii="Arial" w:hAnsi="Arial" w:cs="Arial"/>
          <w:sz w:val="20"/>
          <w:szCs w:val="20"/>
        </w:rPr>
        <w:t>3</w:t>
      </w:r>
      <w:r w:rsidRPr="000A615A">
        <w:rPr>
          <w:rFonts w:ascii="Arial" w:hAnsi="Arial" w:cs="Arial"/>
          <w:sz w:val="20"/>
          <w:szCs w:val="20"/>
        </w:rPr>
        <w:t xml:space="preserve"> – 201</w:t>
      </w:r>
      <w:r w:rsidR="0009079C">
        <w:rPr>
          <w:rFonts w:ascii="Arial" w:hAnsi="Arial" w:cs="Arial"/>
          <w:sz w:val="20"/>
          <w:szCs w:val="20"/>
        </w:rPr>
        <w:t>5</w:t>
      </w:r>
      <w:r w:rsidRPr="000A615A">
        <w:rPr>
          <w:rFonts w:ascii="Arial" w:hAnsi="Arial" w:cs="Arial"/>
          <w:sz w:val="20"/>
          <w:szCs w:val="20"/>
        </w:rPr>
        <w:t xml:space="preserve"> Coventry had more visitors than Cam</w:t>
      </w:r>
      <w:r w:rsidR="0009079C">
        <w:rPr>
          <w:rFonts w:ascii="Arial" w:hAnsi="Arial" w:cs="Arial"/>
          <w:sz w:val="20"/>
          <w:szCs w:val="20"/>
        </w:rPr>
        <w:t>den</w:t>
      </w:r>
      <w:r w:rsidRPr="000A615A">
        <w:rPr>
          <w:rFonts w:ascii="Arial" w:hAnsi="Arial" w:cs="Arial"/>
          <w:sz w:val="20"/>
          <w:szCs w:val="20"/>
        </w:rPr>
        <w:t>, or fewer than the New Forest – rather, we would need to conclude that these local authorities are broadly similar in their numbers of domestic overnight trips.</w:t>
      </w:r>
      <w:r w:rsidRPr="000A615A">
        <w:rPr>
          <w:rFonts w:ascii="Arial" w:hAnsi="Arial" w:cs="Arial"/>
          <w:sz w:val="20"/>
          <w:szCs w:val="20"/>
        </w:rPr>
        <w:br/>
      </w: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DE7A20" w:rsidRDefault="00DE7A20" w:rsidP="0051275C">
      <w:pPr>
        <w:spacing w:after="0" w:line="240" w:lineRule="auto"/>
        <w:rPr>
          <w:rFonts w:ascii="Arial" w:hAnsi="Arial" w:cs="Arial"/>
          <w:sz w:val="20"/>
          <w:szCs w:val="20"/>
        </w:rPr>
      </w:pPr>
    </w:p>
    <w:p w:rsidR="0051275C" w:rsidRDefault="0051275C" w:rsidP="0051275C">
      <w:pPr>
        <w:spacing w:after="0" w:line="240" w:lineRule="auto"/>
        <w:rPr>
          <w:rFonts w:ascii="Arial" w:hAnsi="Arial" w:cs="Arial"/>
          <w:b/>
          <w:sz w:val="20"/>
          <w:szCs w:val="20"/>
        </w:rPr>
      </w:pPr>
      <w:r w:rsidRPr="000A615A">
        <w:rPr>
          <w:rFonts w:ascii="Arial" w:hAnsi="Arial" w:cs="Arial"/>
          <w:sz w:val="20"/>
          <w:szCs w:val="20"/>
        </w:rPr>
        <w:br/>
      </w:r>
      <w:r w:rsidRPr="000A615A">
        <w:rPr>
          <w:rFonts w:ascii="Arial" w:hAnsi="Arial" w:cs="Arial"/>
          <w:b/>
          <w:sz w:val="20"/>
          <w:szCs w:val="20"/>
        </w:rPr>
        <w:t>Table 2</w:t>
      </w:r>
    </w:p>
    <w:p w:rsidR="0051275C" w:rsidRDefault="0051275C" w:rsidP="00C2188A">
      <w:pPr>
        <w:spacing w:after="0" w:line="240" w:lineRule="auto"/>
        <w:rPr>
          <w:rFonts w:ascii="Arial" w:hAnsi="Arial" w:cs="Arial"/>
          <w:sz w:val="20"/>
          <w:szCs w:val="20"/>
        </w:rPr>
      </w:pPr>
    </w:p>
    <w:tbl>
      <w:tblPr>
        <w:tblpPr w:leftFromText="180" w:rightFromText="180" w:vertAnchor="text" w:horzAnchor="margin" w:tblpXSpec="center" w:tblpY="350"/>
        <w:tblW w:w="11651" w:type="dxa"/>
        <w:tblLayout w:type="fixed"/>
        <w:tblLook w:val="04A0" w:firstRow="1" w:lastRow="0" w:firstColumn="1" w:lastColumn="0" w:noHBand="0" w:noVBand="1"/>
      </w:tblPr>
      <w:tblGrid>
        <w:gridCol w:w="1716"/>
        <w:gridCol w:w="1196"/>
        <w:gridCol w:w="1456"/>
        <w:gridCol w:w="1457"/>
        <w:gridCol w:w="1456"/>
        <w:gridCol w:w="1456"/>
        <w:gridCol w:w="1457"/>
        <w:gridCol w:w="1457"/>
      </w:tblGrid>
      <w:tr w:rsidR="0051275C" w:rsidRPr="000A615A" w:rsidTr="00672E8D">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single" w:sz="4" w:space="0" w:color="auto"/>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vAlign w:val="bottom"/>
          </w:tcPr>
          <w:p w:rsid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 xml:space="preserve">Total </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Trips</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2007-9</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2008-10</w:t>
            </w:r>
          </w:p>
        </w:tc>
        <w:tc>
          <w:tcPr>
            <w:tcW w:w="1457"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2009-11</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2010-12</w:t>
            </w:r>
          </w:p>
        </w:tc>
        <w:tc>
          <w:tcPr>
            <w:tcW w:w="1456"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2011-13</w:t>
            </w:r>
          </w:p>
        </w:tc>
        <w:tc>
          <w:tcPr>
            <w:tcW w:w="1457"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2012-14</w:t>
            </w:r>
          </w:p>
        </w:tc>
        <w:tc>
          <w:tcPr>
            <w:tcW w:w="1457"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2013-15</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vAlign w:val="bottom"/>
          </w:tcPr>
          <w:p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thousands</w:t>
            </w:r>
          </w:p>
        </w:tc>
      </w:tr>
      <w:tr w:rsidR="0051275C" w:rsidRPr="000A615A"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sz w:val="20"/>
                <w:szCs w:val="20"/>
                <w:lang w:eastAsia="en-GB"/>
              </w:rPr>
            </w:pP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rPr>
                <w:rFonts w:ascii="Arial" w:eastAsia="Times New Roman" w:hAnsi="Arial" w:cs="Arial"/>
                <w:sz w:val="20"/>
                <w:szCs w:val="20"/>
                <w:lang w:eastAsia="en-GB"/>
              </w:rPr>
            </w:pP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rPr>
                <w:rFonts w:ascii="Arial" w:eastAsia="Times New Roman" w:hAnsi="Arial" w:cs="Arial"/>
                <w:color w:val="FF0000"/>
                <w:sz w:val="20"/>
                <w:szCs w:val="20"/>
                <w:lang w:eastAsia="en-GB"/>
              </w:rPr>
            </w:pPr>
          </w:p>
        </w:tc>
        <w:tc>
          <w:tcPr>
            <w:tcW w:w="1457" w:type="dxa"/>
            <w:tcBorders>
              <w:top w:val="nil"/>
              <w:left w:val="nil"/>
              <w:bottom w:val="single" w:sz="4" w:space="0" w:color="auto"/>
              <w:right w:val="single" w:sz="4" w:space="0" w:color="auto"/>
            </w:tcBorders>
            <w:vAlign w:val="bottom"/>
          </w:tcPr>
          <w:p w:rsidR="0051275C" w:rsidRDefault="0051275C" w:rsidP="0051275C">
            <w:pPr>
              <w:jc w:val="center"/>
              <w:rPr>
                <w:rFonts w:ascii="Arial" w:hAnsi="Arial" w:cs="Arial"/>
                <w:i/>
                <w:iCs/>
                <w:sz w:val="20"/>
                <w:szCs w:val="20"/>
              </w:rPr>
            </w:pPr>
          </w:p>
        </w:tc>
      </w:tr>
      <w:tr w:rsidR="0051275C" w:rsidRPr="000A615A" w:rsidTr="0009079C">
        <w:trPr>
          <w:trHeight w:val="45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England</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98724</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97516</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100682</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101418</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p>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103500</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p>
          <w:p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r w:rsidRPr="000A615A">
              <w:rPr>
                <w:rFonts w:ascii="Arial" w:eastAsia="Times New Roman" w:hAnsi="Arial" w:cs="Arial"/>
                <w:i/>
                <w:iCs/>
                <w:sz w:val="20"/>
                <w:szCs w:val="20"/>
                <w:lang w:eastAsia="en-GB"/>
              </w:rPr>
              <w:t>99607</w:t>
            </w:r>
          </w:p>
        </w:tc>
        <w:tc>
          <w:tcPr>
            <w:tcW w:w="1457" w:type="dxa"/>
            <w:tcBorders>
              <w:top w:val="nil"/>
              <w:left w:val="nil"/>
              <w:bottom w:val="single" w:sz="4" w:space="0" w:color="auto"/>
              <w:right w:val="single" w:sz="4" w:space="0" w:color="auto"/>
            </w:tcBorders>
            <w:vAlign w:val="bottom"/>
          </w:tcPr>
          <w:p w:rsidR="0051275C" w:rsidRPr="0051275C" w:rsidRDefault="0051275C" w:rsidP="0009079C">
            <w:pPr>
              <w:spacing w:after="0" w:line="240" w:lineRule="auto"/>
              <w:jc w:val="center"/>
              <w:rPr>
                <w:rFonts w:ascii="Arial" w:eastAsia="Times New Roman" w:hAnsi="Arial" w:cs="Arial"/>
                <w:i/>
                <w:iCs/>
                <w:sz w:val="20"/>
                <w:szCs w:val="20"/>
                <w:lang w:eastAsia="en-GB"/>
              </w:rPr>
            </w:pPr>
            <w:r w:rsidRPr="0051275C">
              <w:rPr>
                <w:rFonts w:ascii="Arial" w:eastAsia="Times New Roman" w:hAnsi="Arial" w:cs="Arial"/>
                <w:i/>
                <w:iCs/>
                <w:sz w:val="20"/>
                <w:szCs w:val="20"/>
                <w:lang w:eastAsia="en-GB"/>
              </w:rPr>
              <w:t>99028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p>
        </w:tc>
        <w:tc>
          <w:tcPr>
            <w:tcW w:w="1457" w:type="dxa"/>
            <w:tcBorders>
              <w:top w:val="nil"/>
              <w:left w:val="nil"/>
              <w:bottom w:val="single" w:sz="4" w:space="0" w:color="auto"/>
              <w:right w:val="single" w:sz="4" w:space="0" w:color="auto"/>
            </w:tcBorders>
            <w:vAlign w:val="bottom"/>
          </w:tcPr>
          <w:p w:rsidR="0051275C" w:rsidRPr="000A615A" w:rsidRDefault="0051275C" w:rsidP="0009079C">
            <w:pPr>
              <w:spacing w:after="0" w:line="240" w:lineRule="auto"/>
              <w:jc w:val="center"/>
              <w:rPr>
                <w:rFonts w:ascii="Arial" w:eastAsia="Times New Roman" w:hAnsi="Arial" w:cs="Arial"/>
                <w:i/>
                <w:iCs/>
                <w:color w:val="FF0000"/>
                <w:sz w:val="20"/>
                <w:szCs w:val="20"/>
                <w:lang w:eastAsia="en-GB"/>
              </w:rPr>
            </w:pPr>
          </w:p>
        </w:tc>
      </w:tr>
      <w:tr w:rsidR="0051275C" w:rsidRPr="000A615A" w:rsidTr="0009079C">
        <w:trPr>
          <w:trHeight w:val="35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Cornwall</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4375</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4142</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4136</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3899</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3995</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3743</w:t>
            </w:r>
          </w:p>
        </w:tc>
        <w:tc>
          <w:tcPr>
            <w:tcW w:w="1457" w:type="dxa"/>
            <w:tcBorders>
              <w:top w:val="nil"/>
              <w:left w:val="nil"/>
              <w:bottom w:val="single" w:sz="4" w:space="0" w:color="auto"/>
              <w:right w:val="single" w:sz="4" w:space="0" w:color="auto"/>
            </w:tcBorders>
            <w:vAlign w:val="bottom"/>
          </w:tcPr>
          <w:p w:rsidR="0051275C" w:rsidRPr="000A615A" w:rsidRDefault="0051275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3759</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City of  London</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2856</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2952</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2944</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3274</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3373</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2906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2278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Manchester</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2445</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2409</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2470</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2526</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2714</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2688</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2551</w:t>
            </w:r>
          </w:p>
        </w:tc>
      </w:tr>
      <w:tr w:rsidR="0051275C" w:rsidRPr="000A615A" w:rsidTr="0009079C">
        <w:trPr>
          <w:trHeight w:val="236"/>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51275C" w:rsidP="0009079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Oxford</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681</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687</w:t>
            </w:r>
          </w:p>
        </w:tc>
        <w:tc>
          <w:tcPr>
            <w:tcW w:w="1457"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704</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658</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629</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646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633</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New Forest</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639</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617</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598</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617</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699</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lastRenderedPageBreak/>
              <w:t xml:space="preserve"> Eden</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557</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488</w:t>
            </w:r>
          </w:p>
        </w:tc>
        <w:tc>
          <w:tcPr>
            <w:tcW w:w="1457"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539</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582</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586</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584</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South Hams</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476</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460</w:t>
            </w:r>
          </w:p>
        </w:tc>
        <w:tc>
          <w:tcPr>
            <w:tcW w:w="1457"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503</w:t>
            </w:r>
          </w:p>
        </w:tc>
        <w:tc>
          <w:tcPr>
            <w:tcW w:w="145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563</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608</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558</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rsidTr="0009079C">
        <w:trPr>
          <w:trHeight w:val="300"/>
        </w:trPr>
        <w:tc>
          <w:tcPr>
            <w:tcW w:w="1716" w:type="dxa"/>
            <w:tcBorders>
              <w:top w:val="single" w:sz="4" w:space="0" w:color="auto"/>
              <w:left w:val="single" w:sz="4" w:space="0" w:color="auto"/>
              <w:bottom w:val="single" w:sz="24" w:space="0" w:color="FF0000"/>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Camden</w:t>
            </w:r>
          </w:p>
        </w:tc>
        <w:tc>
          <w:tcPr>
            <w:tcW w:w="1196"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477</w:t>
            </w:r>
          </w:p>
        </w:tc>
        <w:tc>
          <w:tcPr>
            <w:tcW w:w="1456"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549</w:t>
            </w:r>
          </w:p>
        </w:tc>
        <w:tc>
          <w:tcPr>
            <w:tcW w:w="1457"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6" w:type="dxa"/>
            <w:tcBorders>
              <w:top w:val="single" w:sz="4" w:space="0" w:color="auto"/>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568</w:t>
            </w:r>
          </w:p>
        </w:tc>
        <w:tc>
          <w:tcPr>
            <w:tcW w:w="1456" w:type="dxa"/>
            <w:tcBorders>
              <w:top w:val="single" w:sz="4" w:space="0" w:color="auto"/>
              <w:left w:val="nil"/>
              <w:bottom w:val="single" w:sz="24" w:space="0" w:color="FF0000"/>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571</w:t>
            </w:r>
          </w:p>
        </w:tc>
        <w:tc>
          <w:tcPr>
            <w:tcW w:w="1457" w:type="dxa"/>
            <w:tcBorders>
              <w:top w:val="single" w:sz="4" w:space="0" w:color="auto"/>
              <w:left w:val="single" w:sz="4" w:space="0" w:color="auto"/>
              <w:bottom w:val="single" w:sz="24" w:space="0" w:color="FF0000"/>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557</w:t>
            </w:r>
          </w:p>
        </w:tc>
        <w:tc>
          <w:tcPr>
            <w:tcW w:w="1457" w:type="dxa"/>
            <w:tcBorders>
              <w:top w:val="single" w:sz="4" w:space="0" w:color="auto"/>
              <w:left w:val="single" w:sz="4" w:space="0" w:color="auto"/>
              <w:bottom w:val="single" w:sz="24" w:space="0" w:color="FF0000"/>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rsidTr="0009079C">
        <w:trPr>
          <w:trHeight w:val="300"/>
        </w:trPr>
        <w:tc>
          <w:tcPr>
            <w:tcW w:w="1716" w:type="dxa"/>
            <w:tcBorders>
              <w:top w:val="single" w:sz="24" w:space="0" w:color="FF0000"/>
              <w:left w:val="single" w:sz="24" w:space="0" w:color="FF0000"/>
              <w:bottom w:val="single" w:sz="24" w:space="0" w:color="FF0000"/>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Coventry</w:t>
            </w:r>
          </w:p>
        </w:tc>
        <w:tc>
          <w:tcPr>
            <w:tcW w:w="1196" w:type="dxa"/>
            <w:tcBorders>
              <w:top w:val="single" w:sz="24" w:space="0" w:color="FF0000"/>
              <w:left w:val="nil"/>
              <w:bottom w:val="single" w:sz="24" w:space="0" w:color="FF0000"/>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518</w:t>
            </w:r>
          </w:p>
        </w:tc>
        <w:tc>
          <w:tcPr>
            <w:tcW w:w="1456" w:type="dxa"/>
            <w:tcBorders>
              <w:top w:val="single" w:sz="24" w:space="0" w:color="FF0000"/>
              <w:left w:val="nil"/>
              <w:bottom w:val="single" w:sz="24" w:space="0" w:color="FF0000"/>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528</w:t>
            </w:r>
          </w:p>
        </w:tc>
        <w:tc>
          <w:tcPr>
            <w:tcW w:w="1457" w:type="dxa"/>
            <w:tcBorders>
              <w:top w:val="single" w:sz="24" w:space="0" w:color="FF0000"/>
              <w:left w:val="nil"/>
              <w:bottom w:val="single" w:sz="24" w:space="0" w:color="FF0000"/>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563</w:t>
            </w:r>
          </w:p>
        </w:tc>
        <w:tc>
          <w:tcPr>
            <w:tcW w:w="1456" w:type="dxa"/>
            <w:tcBorders>
              <w:top w:val="single" w:sz="24" w:space="0" w:color="FF0000"/>
              <w:left w:val="nil"/>
              <w:bottom w:val="single" w:sz="24" w:space="0" w:color="FF0000"/>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531</w:t>
            </w:r>
          </w:p>
        </w:tc>
        <w:tc>
          <w:tcPr>
            <w:tcW w:w="1456" w:type="dxa"/>
            <w:tcBorders>
              <w:top w:val="single" w:sz="24" w:space="0" w:color="FF0000"/>
              <w:left w:val="nil"/>
              <w:bottom w:val="single" w:sz="24" w:space="0" w:color="FF0000"/>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590</w:t>
            </w:r>
          </w:p>
        </w:tc>
        <w:tc>
          <w:tcPr>
            <w:tcW w:w="1457" w:type="dxa"/>
            <w:tcBorders>
              <w:top w:val="single" w:sz="24" w:space="0" w:color="FF0000"/>
              <w:left w:val="nil"/>
              <w:bottom w:val="single" w:sz="24" w:space="0" w:color="FF0000"/>
              <w:right w:val="single" w:sz="24" w:space="0" w:color="FF0000"/>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528</w:t>
            </w:r>
          </w:p>
        </w:tc>
        <w:tc>
          <w:tcPr>
            <w:tcW w:w="1457" w:type="dxa"/>
            <w:tcBorders>
              <w:top w:val="single" w:sz="24" w:space="0" w:color="FF0000"/>
              <w:left w:val="nil"/>
              <w:bottom w:val="single" w:sz="24" w:space="0" w:color="FF0000"/>
              <w:right w:val="single" w:sz="24" w:space="0" w:color="FF0000"/>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585</w:t>
            </w:r>
          </w:p>
        </w:tc>
      </w:tr>
      <w:tr w:rsidR="0051275C" w:rsidRPr="000A615A" w:rsidTr="0009079C">
        <w:trPr>
          <w:trHeight w:val="330"/>
        </w:trPr>
        <w:tc>
          <w:tcPr>
            <w:tcW w:w="1716" w:type="dxa"/>
            <w:tcBorders>
              <w:top w:val="single" w:sz="24" w:space="0" w:color="FF0000"/>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Reading</w:t>
            </w:r>
          </w:p>
        </w:tc>
        <w:tc>
          <w:tcPr>
            <w:tcW w:w="1196" w:type="dxa"/>
            <w:tcBorders>
              <w:top w:val="single" w:sz="24" w:space="0" w:color="FF0000"/>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475</w:t>
            </w:r>
          </w:p>
        </w:tc>
        <w:tc>
          <w:tcPr>
            <w:tcW w:w="1456" w:type="dxa"/>
            <w:tcBorders>
              <w:top w:val="single" w:sz="24" w:space="0" w:color="FF0000"/>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456</w:t>
            </w:r>
          </w:p>
        </w:tc>
        <w:tc>
          <w:tcPr>
            <w:tcW w:w="1457" w:type="dxa"/>
            <w:tcBorders>
              <w:top w:val="single" w:sz="24" w:space="0" w:color="FF0000"/>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571</w:t>
            </w:r>
          </w:p>
        </w:tc>
        <w:tc>
          <w:tcPr>
            <w:tcW w:w="1456" w:type="dxa"/>
            <w:tcBorders>
              <w:top w:val="single" w:sz="24" w:space="0" w:color="FF0000"/>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537</w:t>
            </w:r>
          </w:p>
        </w:tc>
        <w:tc>
          <w:tcPr>
            <w:tcW w:w="1456" w:type="dxa"/>
            <w:tcBorders>
              <w:top w:val="single" w:sz="24" w:space="0" w:color="FF0000"/>
              <w:left w:val="single" w:sz="4" w:space="0" w:color="auto"/>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579</w:t>
            </w:r>
          </w:p>
        </w:tc>
        <w:tc>
          <w:tcPr>
            <w:tcW w:w="1457" w:type="dxa"/>
            <w:tcBorders>
              <w:top w:val="single" w:sz="24" w:space="0" w:color="FF0000"/>
              <w:left w:val="single" w:sz="4" w:space="0" w:color="auto"/>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511</w:t>
            </w:r>
          </w:p>
        </w:tc>
        <w:tc>
          <w:tcPr>
            <w:tcW w:w="1457" w:type="dxa"/>
            <w:tcBorders>
              <w:top w:val="single" w:sz="24" w:space="0" w:color="FF0000"/>
              <w:left w:val="single" w:sz="4" w:space="0" w:color="auto"/>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492</w:t>
            </w:r>
          </w:p>
        </w:tc>
      </w:tr>
      <w:tr w:rsidR="0051275C" w:rsidRPr="000A615A" w:rsidTr="0009079C">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Plymouth</w:t>
            </w:r>
          </w:p>
        </w:tc>
        <w:tc>
          <w:tcPr>
            <w:tcW w:w="1196"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676</w:t>
            </w:r>
          </w:p>
        </w:tc>
        <w:tc>
          <w:tcPr>
            <w:tcW w:w="1456"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634</w:t>
            </w:r>
          </w:p>
        </w:tc>
        <w:tc>
          <w:tcPr>
            <w:tcW w:w="1457"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697</w:t>
            </w:r>
          </w:p>
        </w:tc>
        <w:tc>
          <w:tcPr>
            <w:tcW w:w="1456" w:type="dxa"/>
            <w:tcBorders>
              <w:top w:val="single" w:sz="4" w:space="0" w:color="auto"/>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649</w:t>
            </w:r>
          </w:p>
        </w:tc>
        <w:tc>
          <w:tcPr>
            <w:tcW w:w="1456" w:type="dxa"/>
            <w:tcBorders>
              <w:top w:val="single" w:sz="4" w:space="0" w:color="auto"/>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609</w:t>
            </w:r>
          </w:p>
        </w:tc>
        <w:tc>
          <w:tcPr>
            <w:tcW w:w="1457" w:type="dxa"/>
            <w:tcBorders>
              <w:top w:val="single" w:sz="4" w:space="0" w:color="auto"/>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502</w:t>
            </w:r>
          </w:p>
        </w:tc>
        <w:tc>
          <w:tcPr>
            <w:tcW w:w="1457" w:type="dxa"/>
            <w:tcBorders>
              <w:top w:val="single" w:sz="4" w:space="0" w:color="auto"/>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538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19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Cambridge</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471</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538</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660</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596</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582</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499</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518</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Sefton</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277</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235</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232</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296</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361</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363</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357</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Peterborough</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360</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312</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330</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339</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361</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326</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323</w:t>
            </w:r>
          </w:p>
        </w:tc>
      </w:tr>
      <w:tr w:rsidR="0051275C" w:rsidRPr="000A615A"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Doncaster</w:t>
            </w:r>
          </w:p>
        </w:tc>
        <w:tc>
          <w:tcPr>
            <w:tcW w:w="1196" w:type="dxa"/>
            <w:tcBorders>
              <w:top w:val="nil"/>
              <w:left w:val="nil"/>
              <w:bottom w:val="single" w:sz="4" w:space="0" w:color="auto"/>
              <w:right w:val="single" w:sz="4" w:space="0" w:color="auto"/>
            </w:tcBorders>
            <w:shd w:val="clear" w:color="auto" w:fill="auto"/>
            <w:noWrap/>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383</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409</w:t>
            </w:r>
          </w:p>
        </w:tc>
        <w:tc>
          <w:tcPr>
            <w:tcW w:w="1457"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416</w:t>
            </w:r>
          </w:p>
        </w:tc>
        <w:tc>
          <w:tcPr>
            <w:tcW w:w="1456" w:type="dxa"/>
            <w:tcBorders>
              <w:top w:val="nil"/>
              <w:left w:val="nil"/>
              <w:bottom w:val="single" w:sz="4" w:space="0" w:color="auto"/>
              <w:right w:val="single" w:sz="4" w:space="0" w:color="auto"/>
            </w:tcBorders>
            <w:shd w:val="clear" w:color="auto" w:fill="auto"/>
            <w:noWrap/>
            <w:hideMark/>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400</w:t>
            </w:r>
          </w:p>
        </w:tc>
        <w:tc>
          <w:tcPr>
            <w:tcW w:w="1456"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365</w:t>
            </w:r>
          </w:p>
        </w:tc>
        <w:tc>
          <w:tcPr>
            <w:tcW w:w="1457" w:type="dxa"/>
            <w:tcBorders>
              <w:top w:val="nil"/>
              <w:left w:val="nil"/>
              <w:bottom w:val="single" w:sz="4" w:space="0" w:color="auto"/>
              <w:right w:val="single" w:sz="4" w:space="0" w:color="auto"/>
            </w:tcBorders>
          </w:tcPr>
          <w:p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323</w:t>
            </w:r>
          </w:p>
        </w:tc>
        <w:tc>
          <w:tcPr>
            <w:tcW w:w="1457" w:type="dxa"/>
            <w:tcBorders>
              <w:top w:val="nil"/>
              <w:left w:val="nil"/>
              <w:bottom w:val="single" w:sz="4" w:space="0" w:color="auto"/>
              <w:right w:val="single" w:sz="4" w:space="0" w:color="auto"/>
            </w:tcBorders>
            <w:vAlign w:val="bottom"/>
          </w:tcPr>
          <w:p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295</w:t>
            </w:r>
          </w:p>
        </w:tc>
      </w:tr>
    </w:tbl>
    <w:p w:rsidR="00C2188A" w:rsidRPr="000A615A" w:rsidRDefault="00C2188A" w:rsidP="00C2188A">
      <w:pPr>
        <w:spacing w:after="0" w:line="240" w:lineRule="auto"/>
        <w:rPr>
          <w:rFonts w:ascii="Arial" w:hAnsi="Arial" w:cs="Arial"/>
          <w:color w:val="FF0000"/>
          <w:sz w:val="20"/>
          <w:szCs w:val="20"/>
        </w:rPr>
      </w:pPr>
    </w:p>
    <w:p w:rsidR="00C2188A" w:rsidRPr="000A615A" w:rsidRDefault="00C2188A" w:rsidP="00C2188A">
      <w:pPr>
        <w:spacing w:after="0" w:line="240" w:lineRule="auto"/>
        <w:rPr>
          <w:rFonts w:ascii="Arial" w:hAnsi="Arial" w:cs="Arial"/>
          <w:b/>
          <w:sz w:val="20"/>
          <w:szCs w:val="20"/>
        </w:rPr>
      </w:pPr>
    </w:p>
    <w:p w:rsidR="00C2188A" w:rsidRPr="000A615A" w:rsidRDefault="00C2188A" w:rsidP="00C2188A">
      <w:pPr>
        <w:spacing w:after="0" w:line="240" w:lineRule="auto"/>
        <w:rPr>
          <w:rFonts w:ascii="Arial" w:hAnsi="Arial" w:cs="Arial"/>
          <w:b/>
          <w:color w:val="FF0000"/>
          <w:sz w:val="20"/>
          <w:szCs w:val="20"/>
        </w:rPr>
      </w:pPr>
    </w:p>
    <w:p w:rsidR="00C2188A" w:rsidRDefault="00C2188A" w:rsidP="00C2188A">
      <w:pPr>
        <w:spacing w:after="0" w:line="240" w:lineRule="auto"/>
        <w:rPr>
          <w:rFonts w:ascii="Arial" w:hAnsi="Arial" w:cs="Arial"/>
          <w:b/>
          <w:sz w:val="20"/>
          <w:szCs w:val="20"/>
        </w:rPr>
      </w:pPr>
      <w:r w:rsidRPr="000A615A">
        <w:rPr>
          <w:rFonts w:ascii="Arial" w:hAnsi="Arial" w:cs="Arial"/>
          <w:b/>
          <w:sz w:val="20"/>
          <w:szCs w:val="20"/>
        </w:rPr>
        <w:t>In Summary</w:t>
      </w:r>
    </w:p>
    <w:p w:rsidR="00C2188A" w:rsidRPr="000A615A" w:rsidRDefault="00C2188A" w:rsidP="00C2188A">
      <w:pPr>
        <w:spacing w:after="0" w:line="240" w:lineRule="auto"/>
        <w:rPr>
          <w:rFonts w:ascii="Arial" w:hAnsi="Arial" w:cs="Arial"/>
          <w:b/>
          <w:sz w:val="20"/>
          <w:szCs w:val="20"/>
        </w:rPr>
      </w:pPr>
    </w:p>
    <w:p w:rsidR="00C2188A" w:rsidRDefault="00C2188A" w:rsidP="00C2188A">
      <w:pPr>
        <w:spacing w:after="0" w:line="240" w:lineRule="auto"/>
        <w:rPr>
          <w:rFonts w:ascii="Arial" w:hAnsi="Arial" w:cs="Arial"/>
          <w:sz w:val="20"/>
          <w:szCs w:val="20"/>
        </w:rPr>
      </w:pPr>
      <w:r w:rsidRPr="000A615A">
        <w:rPr>
          <w:rFonts w:ascii="Arial" w:hAnsi="Arial" w:cs="Arial"/>
          <w:sz w:val="20"/>
          <w:szCs w:val="20"/>
        </w:rPr>
        <w:t>In an ideal world, the sample size of the GB Tourism Survey would be increased to be able to provide more robust data at differing levels of geography, but the fact is that this would be a very costly exercise, requiring us to more than double the existing sample size.</w:t>
      </w:r>
    </w:p>
    <w:p w:rsidR="00C2188A" w:rsidRPr="000A615A" w:rsidRDefault="00C2188A" w:rsidP="00C2188A">
      <w:pPr>
        <w:spacing w:after="0" w:line="240" w:lineRule="auto"/>
        <w:rPr>
          <w:rFonts w:ascii="Arial" w:hAnsi="Arial" w:cs="Arial"/>
          <w:sz w:val="20"/>
          <w:szCs w:val="20"/>
        </w:rPr>
      </w:pP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We believe that despite the caveats, the solution that we have provided in three year </w:t>
      </w:r>
      <w:bookmarkStart w:id="0" w:name="_GoBack"/>
      <w:bookmarkEnd w:id="0"/>
      <w:r w:rsidRPr="000A615A">
        <w:rPr>
          <w:rFonts w:ascii="Arial" w:hAnsi="Arial" w:cs="Arial"/>
          <w:sz w:val="20"/>
          <w:szCs w:val="20"/>
        </w:rPr>
        <w:t>averages is still a major step forward in delivering sub-regional tourism statistics, which we hope will be useful to many people and organisations.</w:t>
      </w:r>
    </w:p>
    <w:p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Please contact us with any questions or comments at </w:t>
      </w:r>
      <w:hyperlink r:id="rId9" w:history="1">
        <w:r w:rsidRPr="000A615A">
          <w:rPr>
            <w:rStyle w:val="Hyperlink"/>
            <w:rFonts w:ascii="Arial" w:hAnsi="Arial" w:cs="Arial"/>
            <w:sz w:val="20"/>
            <w:szCs w:val="20"/>
          </w:rPr>
          <w:t>VEResearch@visitengland.org</w:t>
        </w:r>
      </w:hyperlink>
    </w:p>
    <w:p w:rsidR="00C2188A" w:rsidRPr="009F70C6" w:rsidRDefault="00C2188A" w:rsidP="00F46DCA">
      <w:pPr>
        <w:spacing w:after="0" w:line="240" w:lineRule="auto"/>
        <w:rPr>
          <w:rFonts w:ascii="Arial" w:hAnsi="Arial" w:cs="Arial"/>
          <w:sz w:val="20"/>
          <w:szCs w:val="20"/>
        </w:rPr>
      </w:pPr>
    </w:p>
    <w:sectPr w:rsidR="00C2188A" w:rsidRPr="009F70C6" w:rsidSect="00A218E5">
      <w:headerReference w:type="first" r:id="rId10"/>
      <w:footerReference w:type="first" r:id="rId11"/>
      <w:pgSz w:w="11906" w:h="16838" w:code="9"/>
      <w:pgMar w:top="-1438"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F10" w:rsidRDefault="00B94F10" w:rsidP="00A5717F">
      <w:r>
        <w:separator/>
      </w:r>
    </w:p>
  </w:endnote>
  <w:endnote w:type="continuationSeparator" w:id="0">
    <w:p w:rsidR="00B94F10" w:rsidRDefault="00B94F10" w:rsidP="00A5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C6" w:rsidRPr="00580881" w:rsidRDefault="00580881" w:rsidP="00580881">
    <w:pPr>
      <w:pStyle w:val="Footer"/>
      <w:spacing w:after="0" w:line="240" w:lineRule="auto"/>
      <w:rPr>
        <w:sz w:val="12"/>
        <w:szCs w:val="12"/>
      </w:rPr>
    </w:pPr>
    <w:r w:rsidRPr="00580881">
      <w:rPr>
        <w:rFonts w:ascii="Arial" w:hAnsi="Arial" w:cs="Arial"/>
        <w:sz w:val="12"/>
        <w:szCs w:val="12"/>
      </w:rPr>
      <w:t>Overnight Tourism Data for Towns, Local Authorities and Counties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F10" w:rsidRDefault="00B94F10" w:rsidP="00A5717F">
      <w:r>
        <w:separator/>
      </w:r>
    </w:p>
  </w:footnote>
  <w:footnote w:type="continuationSeparator" w:id="0">
    <w:p w:rsidR="00B94F10" w:rsidRDefault="00B94F10" w:rsidP="00A5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4E8" w:rsidRPr="00090B05" w:rsidRDefault="009854E8" w:rsidP="00A5717F">
    <w:pPr>
      <w:pStyle w:val="Header"/>
      <w:rPr>
        <w:color w:val="808080"/>
      </w:rPr>
    </w:pPr>
    <w:r>
      <w:rPr>
        <w:noProof/>
        <w:lang w:eastAsia="en-GB"/>
      </w:rPr>
      <w:drawing>
        <wp:anchor distT="0" distB="0" distL="114300" distR="114300" simplePos="0" relativeHeight="251659264" behindDoc="0" locked="0" layoutInCell="1" allowOverlap="1" wp14:anchorId="6754836E" wp14:editId="30431018">
          <wp:simplePos x="0" y="0"/>
          <wp:positionH relativeFrom="column">
            <wp:posOffset>-1141095</wp:posOffset>
          </wp:positionH>
          <wp:positionV relativeFrom="paragraph">
            <wp:posOffset>-450215</wp:posOffset>
          </wp:positionV>
          <wp:extent cx="7639050" cy="12763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ort3.jpg"/>
                  <pic:cNvPicPr/>
                </pic:nvPicPr>
                <pic:blipFill>
                  <a:blip r:embed="rId1">
                    <a:extLst>
                      <a:ext uri="{28A0092B-C50C-407E-A947-70E740481C1C}">
                        <a14:useLocalDpi xmlns:a14="http://schemas.microsoft.com/office/drawing/2010/main" val="0"/>
                      </a:ext>
                    </a:extLst>
                  </a:blip>
                  <a:stretch>
                    <a:fillRect/>
                  </a:stretch>
                </pic:blipFill>
                <pic:spPr>
                  <a:xfrm>
                    <a:off x="0" y="0"/>
                    <a:ext cx="7639050" cy="1276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A4B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FC35B4"/>
    <w:multiLevelType w:val="hybridMultilevel"/>
    <w:tmpl w:val="C5C0CA88"/>
    <w:lvl w:ilvl="0" w:tplc="79201DC6">
      <w:start w:val="1"/>
      <w:numFmt w:val="bullet"/>
      <w:pStyle w:val="VEBullet"/>
      <w:lvlText w:val=""/>
      <w:lvlJc w:val="left"/>
      <w:pPr>
        <w:ind w:left="720" w:hanging="360"/>
      </w:pPr>
      <w:rPr>
        <w:rFonts w:ascii="Symbol" w:hAnsi="Symbol"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E0F1C"/>
    <w:multiLevelType w:val="hybridMultilevel"/>
    <w:tmpl w:val="96BE9810"/>
    <w:lvl w:ilvl="0" w:tplc="0809000F">
      <w:start w:val="1"/>
      <w:numFmt w:val="decimal"/>
      <w:lvlText w:val="%1."/>
      <w:lvlJc w:val="left"/>
      <w:pPr>
        <w:ind w:left="644"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10"/>
    <w:rsid w:val="000367ED"/>
    <w:rsid w:val="0009079C"/>
    <w:rsid w:val="00090B05"/>
    <w:rsid w:val="000B104B"/>
    <w:rsid w:val="000C62CC"/>
    <w:rsid w:val="000D6AB5"/>
    <w:rsid w:val="000E366D"/>
    <w:rsid w:val="0016263F"/>
    <w:rsid w:val="001C7CD0"/>
    <w:rsid w:val="001D4A02"/>
    <w:rsid w:val="00207DF8"/>
    <w:rsid w:val="00221413"/>
    <w:rsid w:val="00253D5F"/>
    <w:rsid w:val="00255B37"/>
    <w:rsid w:val="0027247E"/>
    <w:rsid w:val="00281221"/>
    <w:rsid w:val="00284345"/>
    <w:rsid w:val="002F5D08"/>
    <w:rsid w:val="002F6C86"/>
    <w:rsid w:val="00303AC6"/>
    <w:rsid w:val="0035585D"/>
    <w:rsid w:val="003B37F6"/>
    <w:rsid w:val="003B573D"/>
    <w:rsid w:val="00443C96"/>
    <w:rsid w:val="004B7389"/>
    <w:rsid w:val="004D269D"/>
    <w:rsid w:val="004F32C1"/>
    <w:rsid w:val="0051275C"/>
    <w:rsid w:val="00514F48"/>
    <w:rsid w:val="00523282"/>
    <w:rsid w:val="00532EA5"/>
    <w:rsid w:val="0053398C"/>
    <w:rsid w:val="00580881"/>
    <w:rsid w:val="0059726A"/>
    <w:rsid w:val="00651A18"/>
    <w:rsid w:val="00692F0B"/>
    <w:rsid w:val="006A6896"/>
    <w:rsid w:val="006B022F"/>
    <w:rsid w:val="006C45ED"/>
    <w:rsid w:val="006D1D59"/>
    <w:rsid w:val="006D4FFA"/>
    <w:rsid w:val="007517D9"/>
    <w:rsid w:val="00755921"/>
    <w:rsid w:val="007818D2"/>
    <w:rsid w:val="007854CF"/>
    <w:rsid w:val="0079168A"/>
    <w:rsid w:val="007B031E"/>
    <w:rsid w:val="007B6243"/>
    <w:rsid w:val="007D7D26"/>
    <w:rsid w:val="007E4531"/>
    <w:rsid w:val="008460BA"/>
    <w:rsid w:val="0087425F"/>
    <w:rsid w:val="0088199A"/>
    <w:rsid w:val="008B2DBB"/>
    <w:rsid w:val="008F26FC"/>
    <w:rsid w:val="00913F13"/>
    <w:rsid w:val="009465C9"/>
    <w:rsid w:val="009605CC"/>
    <w:rsid w:val="009854E8"/>
    <w:rsid w:val="00986C7E"/>
    <w:rsid w:val="00997BD0"/>
    <w:rsid w:val="009A415B"/>
    <w:rsid w:val="009C45BD"/>
    <w:rsid w:val="009D38B9"/>
    <w:rsid w:val="009D72E6"/>
    <w:rsid w:val="009E24B1"/>
    <w:rsid w:val="009F3946"/>
    <w:rsid w:val="009F70C6"/>
    <w:rsid w:val="00A218E5"/>
    <w:rsid w:val="00A46F27"/>
    <w:rsid w:val="00A5717F"/>
    <w:rsid w:val="00A817A8"/>
    <w:rsid w:val="00AD55AA"/>
    <w:rsid w:val="00AE71F3"/>
    <w:rsid w:val="00B022E6"/>
    <w:rsid w:val="00B1340F"/>
    <w:rsid w:val="00B226D1"/>
    <w:rsid w:val="00B240BA"/>
    <w:rsid w:val="00B53802"/>
    <w:rsid w:val="00B71648"/>
    <w:rsid w:val="00B94F10"/>
    <w:rsid w:val="00BC130F"/>
    <w:rsid w:val="00BD0960"/>
    <w:rsid w:val="00BE01AE"/>
    <w:rsid w:val="00BE77E8"/>
    <w:rsid w:val="00C12609"/>
    <w:rsid w:val="00C13DA9"/>
    <w:rsid w:val="00C2188A"/>
    <w:rsid w:val="00CC148A"/>
    <w:rsid w:val="00CD7C07"/>
    <w:rsid w:val="00CE2C42"/>
    <w:rsid w:val="00D4131B"/>
    <w:rsid w:val="00D56832"/>
    <w:rsid w:val="00D70511"/>
    <w:rsid w:val="00D85EAB"/>
    <w:rsid w:val="00DC0D1A"/>
    <w:rsid w:val="00DE7A20"/>
    <w:rsid w:val="00E16E5A"/>
    <w:rsid w:val="00E952E3"/>
    <w:rsid w:val="00EB0426"/>
    <w:rsid w:val="00EC46EB"/>
    <w:rsid w:val="00EE597B"/>
    <w:rsid w:val="00EF4A49"/>
    <w:rsid w:val="00F36D32"/>
    <w:rsid w:val="00F46DCA"/>
    <w:rsid w:val="00F55654"/>
    <w:rsid w:val="00F97A06"/>
    <w:rsid w:val="00FF0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9DC12AE-3897-4884-ACB6-48661C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F1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3B573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72E6"/>
    <w:pPr>
      <w:tabs>
        <w:tab w:val="center" w:pos="4153"/>
        <w:tab w:val="right" w:pos="8306"/>
      </w:tabs>
    </w:pPr>
  </w:style>
  <w:style w:type="paragraph" w:styleId="Footer">
    <w:name w:val="footer"/>
    <w:basedOn w:val="Normal"/>
    <w:rsid w:val="009D72E6"/>
    <w:pPr>
      <w:tabs>
        <w:tab w:val="center" w:pos="4153"/>
        <w:tab w:val="right" w:pos="8306"/>
      </w:tabs>
    </w:pPr>
  </w:style>
  <w:style w:type="paragraph" w:styleId="Date">
    <w:name w:val="Date"/>
    <w:basedOn w:val="Normal"/>
    <w:next w:val="Normal"/>
    <w:rsid w:val="0053398C"/>
  </w:style>
  <w:style w:type="paragraph" w:styleId="BalloonText">
    <w:name w:val="Balloon Text"/>
    <w:basedOn w:val="Normal"/>
    <w:link w:val="BalloonTextChar"/>
    <w:rsid w:val="0079168A"/>
    <w:rPr>
      <w:rFonts w:ascii="Tahoma" w:hAnsi="Tahoma" w:cs="Tahoma"/>
      <w:sz w:val="16"/>
      <w:szCs w:val="16"/>
    </w:rPr>
  </w:style>
  <w:style w:type="character" w:customStyle="1" w:styleId="BalloonTextChar">
    <w:name w:val="Balloon Text Char"/>
    <w:basedOn w:val="DefaultParagraphFont"/>
    <w:link w:val="BalloonText"/>
    <w:rsid w:val="0079168A"/>
    <w:rPr>
      <w:rFonts w:ascii="Tahoma" w:hAnsi="Tahoma" w:cs="Tahoma"/>
      <w:sz w:val="16"/>
      <w:szCs w:val="16"/>
      <w:lang w:eastAsia="zh-CN"/>
    </w:rPr>
  </w:style>
  <w:style w:type="paragraph" w:customStyle="1" w:styleId="VEBullet">
    <w:name w:val="VE Bullet"/>
    <w:basedOn w:val="ListBullet"/>
    <w:link w:val="VEBulletChar"/>
    <w:qFormat/>
    <w:rsid w:val="00A5717F"/>
    <w:pPr>
      <w:numPr>
        <w:numId w:val="2"/>
      </w:numPr>
      <w:suppressAutoHyphens/>
      <w:spacing w:line="288" w:lineRule="auto"/>
      <w:ind w:left="357" w:hanging="357"/>
      <w:contextualSpacing w:val="0"/>
    </w:pPr>
    <w:rPr>
      <w:rFonts w:cs="Arial"/>
      <w:color w:val="4A4B50"/>
      <w:lang w:eastAsia="en-GB"/>
    </w:rPr>
  </w:style>
  <w:style w:type="character" w:customStyle="1" w:styleId="VEBulletChar">
    <w:name w:val="VE Bullet Char"/>
    <w:basedOn w:val="DefaultParagraphFont"/>
    <w:link w:val="VEBullet"/>
    <w:rsid w:val="00A5717F"/>
    <w:rPr>
      <w:rFonts w:ascii="Arial Narrow" w:hAnsi="Arial Narrow" w:cs="Arial"/>
      <w:color w:val="4A4B50"/>
      <w:sz w:val="24"/>
      <w:szCs w:val="22"/>
    </w:rPr>
  </w:style>
  <w:style w:type="paragraph" w:styleId="ListBullet">
    <w:name w:val="List Bullet"/>
    <w:basedOn w:val="Normal"/>
    <w:rsid w:val="00986C7E"/>
    <w:pPr>
      <w:numPr>
        <w:numId w:val="1"/>
      </w:numPr>
      <w:contextualSpacing/>
    </w:pPr>
  </w:style>
  <w:style w:type="paragraph" w:styleId="ListParagraph">
    <w:name w:val="List Paragraph"/>
    <w:basedOn w:val="Normal"/>
    <w:uiPriority w:val="34"/>
    <w:qFormat/>
    <w:rsid w:val="00B94F10"/>
    <w:pPr>
      <w:ind w:left="720"/>
      <w:contextualSpacing/>
    </w:pPr>
  </w:style>
  <w:style w:type="character" w:styleId="Hyperlink">
    <w:name w:val="Hyperlink"/>
    <w:basedOn w:val="DefaultParagraphFont"/>
    <w:uiPriority w:val="99"/>
    <w:rsid w:val="000E3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2729">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16313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destination-analy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search@visiteng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AA94-953C-46D8-8378-98B0483E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1040</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VE Agenda</vt:lpstr>
    </vt:vector>
  </TitlesOfParts>
  <Company>VisitBritain</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Agenda</dc:title>
  <dc:creator>Xavier Faux</dc:creator>
  <cp:lastModifiedBy>John Duncan</cp:lastModifiedBy>
  <cp:revision>7</cp:revision>
  <cp:lastPrinted>2016-05-26T14:18:00Z</cp:lastPrinted>
  <dcterms:created xsi:type="dcterms:W3CDTF">2017-10-31T16:27:00Z</dcterms:created>
  <dcterms:modified xsi:type="dcterms:W3CDTF">2017-10-31T16:34:00Z</dcterms:modified>
</cp:coreProperties>
</file>